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3CE03" w14:textId="77777777" w:rsidR="00772D3C" w:rsidRPr="00391D31" w:rsidRDefault="00506FED" w:rsidP="00391D31">
      <w:pPr>
        <w:jc w:val="center"/>
        <w:rPr>
          <w:rFonts w:cs="Arial"/>
          <w:b/>
          <w:sz w:val="28"/>
          <w:szCs w:val="28"/>
          <w:lang w:val="en-AU"/>
        </w:rPr>
      </w:pPr>
      <w:r w:rsidRPr="00391D31">
        <w:rPr>
          <w:rFonts w:cs="Arial"/>
          <w:b/>
          <w:sz w:val="28"/>
          <w:szCs w:val="28"/>
          <w:lang w:val="en-AU"/>
        </w:rPr>
        <w:t>Unfinish</w:t>
      </w:r>
      <w:r w:rsidR="00391D31">
        <w:rPr>
          <w:rFonts w:cs="Arial"/>
          <w:b/>
          <w:sz w:val="28"/>
          <w:szCs w:val="28"/>
          <w:lang w:val="en-AU"/>
        </w:rPr>
        <w:t xml:space="preserve">ed business: </w:t>
      </w:r>
      <w:r w:rsidR="00391D31">
        <w:rPr>
          <w:rFonts w:cs="Arial"/>
          <w:b/>
          <w:sz w:val="28"/>
          <w:szCs w:val="28"/>
          <w:lang w:val="en-AU"/>
        </w:rPr>
        <w:br/>
        <w:t>S</w:t>
      </w:r>
      <w:r w:rsidR="00C77705" w:rsidRPr="00391D31">
        <w:rPr>
          <w:rFonts w:cs="Arial"/>
          <w:b/>
          <w:sz w:val="28"/>
          <w:szCs w:val="28"/>
          <w:lang w:val="en-AU"/>
        </w:rPr>
        <w:t xml:space="preserve">ecuring </w:t>
      </w:r>
      <w:r w:rsidRPr="00391D31">
        <w:rPr>
          <w:rFonts w:cs="Arial"/>
          <w:b/>
          <w:sz w:val="28"/>
          <w:szCs w:val="28"/>
          <w:lang w:val="en-AU"/>
        </w:rPr>
        <w:t>national leadership and funding support for preschool</w:t>
      </w:r>
    </w:p>
    <w:p w14:paraId="103343E7" w14:textId="77777777" w:rsidR="00772D3C" w:rsidRPr="00391D31" w:rsidRDefault="00772D3C" w:rsidP="00506FED">
      <w:pPr>
        <w:rPr>
          <w:rFonts w:cs="Arial"/>
          <w:b/>
          <w:sz w:val="28"/>
          <w:szCs w:val="28"/>
          <w:lang w:val="en-AU"/>
        </w:rPr>
      </w:pPr>
    </w:p>
    <w:p w14:paraId="19C09D3B" w14:textId="77777777" w:rsidR="005161FF" w:rsidRPr="00E258F7" w:rsidRDefault="005161FF" w:rsidP="005161FF">
      <w:pPr>
        <w:ind w:left="426"/>
        <w:rPr>
          <w:rFonts w:cs="Arial"/>
          <w:b/>
          <w:sz w:val="28"/>
          <w:lang w:val="en-AU"/>
        </w:rPr>
      </w:pPr>
      <w:r w:rsidRPr="00E258F7">
        <w:rPr>
          <w:rFonts w:cs="Arial"/>
          <w:b/>
          <w:sz w:val="28"/>
          <w:lang w:val="en-AU"/>
        </w:rPr>
        <w:t>Introduction</w:t>
      </w:r>
    </w:p>
    <w:p w14:paraId="0D5CAFA3" w14:textId="77777777" w:rsidR="005161FF" w:rsidRPr="00391D31" w:rsidRDefault="005161FF" w:rsidP="005161FF">
      <w:pPr>
        <w:ind w:left="426"/>
        <w:rPr>
          <w:rFonts w:cs="Arial"/>
          <w:b/>
          <w:lang w:val="en-AU"/>
        </w:rPr>
      </w:pPr>
    </w:p>
    <w:p w14:paraId="37CAB377" w14:textId="77777777" w:rsidR="00772D3C" w:rsidRPr="00391D31" w:rsidRDefault="00772D3C" w:rsidP="00506FED">
      <w:pPr>
        <w:rPr>
          <w:rFonts w:cs="Arial"/>
          <w:color w:val="FF0000"/>
          <w:lang w:val="en-AU"/>
        </w:rPr>
      </w:pPr>
      <w:r w:rsidRPr="00391D31">
        <w:rPr>
          <w:rFonts w:cs="Arial"/>
          <w:lang w:val="en-AU"/>
        </w:rPr>
        <w:t>We welcome the opportunity to provide a submission to this important review of national funding and policy for the education of children in the year before full-time school (commonly known as ‘preschool’). As former senior officials in the Commonwealth government’s education portfolio, we were involved in the design</w:t>
      </w:r>
      <w:r w:rsidR="00E87C4D" w:rsidRPr="00391D31">
        <w:rPr>
          <w:rFonts w:cs="Arial"/>
          <w:lang w:val="en-AU"/>
        </w:rPr>
        <w:t>, negotiation</w:t>
      </w:r>
      <w:r w:rsidRPr="00391D31">
        <w:rPr>
          <w:rFonts w:cs="Arial"/>
          <w:lang w:val="en-AU"/>
        </w:rPr>
        <w:t xml:space="preserve"> and </w:t>
      </w:r>
      <w:r w:rsidR="00CB1F6D" w:rsidRPr="00391D31">
        <w:rPr>
          <w:rFonts w:cs="Arial"/>
          <w:lang w:val="en-AU"/>
        </w:rPr>
        <w:t xml:space="preserve">part of the </w:t>
      </w:r>
      <w:r w:rsidRPr="00391D31">
        <w:rPr>
          <w:rFonts w:cs="Arial"/>
          <w:lang w:val="en-AU"/>
        </w:rPr>
        <w:t xml:space="preserve">implementation of </w:t>
      </w:r>
      <w:r w:rsidRPr="00391D31">
        <w:rPr>
          <w:rFonts w:cs="Arial"/>
          <w:color w:val="000000" w:themeColor="text1"/>
          <w:lang w:val="en-AU"/>
        </w:rPr>
        <w:t xml:space="preserve">the </w:t>
      </w:r>
      <w:r w:rsidR="00C60D07" w:rsidRPr="00391D31">
        <w:rPr>
          <w:rFonts w:cs="Arial"/>
          <w:color w:val="000000" w:themeColor="text1"/>
          <w:lang w:val="en-AU"/>
        </w:rPr>
        <w:t xml:space="preserve">initial </w:t>
      </w:r>
      <w:r w:rsidRPr="00391D31">
        <w:rPr>
          <w:rFonts w:cs="Arial"/>
          <w:color w:val="000000" w:themeColor="text1"/>
          <w:lang w:val="en-AU"/>
        </w:rPr>
        <w:t xml:space="preserve">Universal </w:t>
      </w:r>
      <w:r w:rsidRPr="00391D31">
        <w:rPr>
          <w:rFonts w:cs="Arial"/>
          <w:lang w:val="en-AU"/>
        </w:rPr>
        <w:t xml:space="preserve">Access to </w:t>
      </w:r>
      <w:r w:rsidR="00C60D07" w:rsidRPr="00391D31">
        <w:rPr>
          <w:rFonts w:cs="Arial"/>
          <w:lang w:val="en-AU"/>
        </w:rPr>
        <w:t xml:space="preserve">Early Childhood Education </w:t>
      </w:r>
      <w:r w:rsidRPr="00391D31">
        <w:rPr>
          <w:rFonts w:cs="Arial"/>
          <w:lang w:val="en-AU"/>
        </w:rPr>
        <w:t>initiative</w:t>
      </w:r>
      <w:r w:rsidR="00E87C4D" w:rsidRPr="00391D31">
        <w:rPr>
          <w:rFonts w:cs="Arial"/>
          <w:lang w:val="en-AU"/>
        </w:rPr>
        <w:t>,</w:t>
      </w:r>
      <w:r w:rsidRPr="00391D31">
        <w:rPr>
          <w:rFonts w:cs="Arial"/>
          <w:lang w:val="en-AU"/>
        </w:rPr>
        <w:t xml:space="preserve"> and </w:t>
      </w:r>
      <w:r w:rsidR="00260D10" w:rsidRPr="00391D31">
        <w:rPr>
          <w:rFonts w:cs="Arial"/>
          <w:lang w:val="en-AU"/>
        </w:rPr>
        <w:t xml:space="preserve">as academic practitioners </w:t>
      </w:r>
      <w:r w:rsidRPr="00391D31">
        <w:rPr>
          <w:rFonts w:cs="Arial"/>
          <w:lang w:val="en-AU"/>
        </w:rPr>
        <w:t>we have also undertaken research in this social policy area.</w:t>
      </w:r>
      <w:r w:rsidR="00CA33A6" w:rsidRPr="00391D31">
        <w:rPr>
          <w:rFonts w:cs="Arial"/>
          <w:lang w:val="en-AU"/>
        </w:rPr>
        <w:t xml:space="preserve"> </w:t>
      </w:r>
    </w:p>
    <w:p w14:paraId="7653BF5C" w14:textId="77777777" w:rsidR="00C70024" w:rsidRPr="00391D31" w:rsidRDefault="00C70024" w:rsidP="00506FED">
      <w:pPr>
        <w:rPr>
          <w:rFonts w:cs="Arial"/>
          <w:lang w:val="en-AU"/>
        </w:rPr>
      </w:pPr>
    </w:p>
    <w:p w14:paraId="05E1122E" w14:textId="7AFC5158" w:rsidR="00C56D9D" w:rsidRPr="00391D31" w:rsidRDefault="00C70024" w:rsidP="00506FED">
      <w:pPr>
        <w:rPr>
          <w:rFonts w:cs="Arial"/>
          <w:lang w:val="en-AU"/>
        </w:rPr>
      </w:pPr>
      <w:r w:rsidRPr="00391D31">
        <w:rPr>
          <w:rFonts w:cs="Arial"/>
          <w:lang w:val="en-AU"/>
        </w:rPr>
        <w:t>By any measure</w:t>
      </w:r>
      <w:r w:rsidR="00E87C4D" w:rsidRPr="00391D31">
        <w:rPr>
          <w:rFonts w:cs="Arial"/>
          <w:lang w:val="en-AU"/>
        </w:rPr>
        <w:t>,</w:t>
      </w:r>
      <w:r w:rsidRPr="00391D31">
        <w:rPr>
          <w:rFonts w:cs="Arial"/>
          <w:lang w:val="en-AU"/>
        </w:rPr>
        <w:t xml:space="preserve"> the Commonwealth’s involvement since 2008 in providing significant funding and national leadership for </w:t>
      </w:r>
      <w:r w:rsidR="002246B8" w:rsidRPr="00391D31">
        <w:rPr>
          <w:rFonts w:cs="Arial"/>
          <w:lang w:val="en-AU"/>
        </w:rPr>
        <w:t xml:space="preserve">preschool </w:t>
      </w:r>
      <w:r w:rsidRPr="00391D31">
        <w:rPr>
          <w:rFonts w:cs="Arial"/>
          <w:lang w:val="en-AU"/>
        </w:rPr>
        <w:t>ha</w:t>
      </w:r>
      <w:r w:rsidR="009E4507" w:rsidRPr="00391D31">
        <w:rPr>
          <w:rFonts w:cs="Arial"/>
          <w:lang w:val="en-AU"/>
        </w:rPr>
        <w:t>s b</w:t>
      </w:r>
      <w:r w:rsidRPr="00391D31">
        <w:rPr>
          <w:rFonts w:cs="Arial"/>
          <w:lang w:val="en-AU"/>
        </w:rPr>
        <w:t>een a</w:t>
      </w:r>
      <w:r w:rsidR="00D811F7" w:rsidRPr="00391D31">
        <w:rPr>
          <w:rFonts w:cs="Arial"/>
          <w:lang w:val="en-AU"/>
        </w:rPr>
        <w:t xml:space="preserve"> s</w:t>
      </w:r>
      <w:r w:rsidRPr="00391D31">
        <w:rPr>
          <w:rFonts w:cs="Arial"/>
          <w:lang w:val="en-AU"/>
        </w:rPr>
        <w:t>uccess</w:t>
      </w:r>
      <w:r w:rsidR="008C576E" w:rsidRPr="00391D31">
        <w:rPr>
          <w:rFonts w:cs="Arial"/>
          <w:lang w:val="en-AU"/>
        </w:rPr>
        <w:t>.</w:t>
      </w:r>
      <w:r w:rsidR="00866758" w:rsidRPr="00391D31">
        <w:rPr>
          <w:rFonts w:cs="Arial"/>
          <w:lang w:val="en-AU"/>
        </w:rPr>
        <w:t xml:space="preserve"> </w:t>
      </w:r>
      <w:r w:rsidR="00E87C4D" w:rsidRPr="00391D31">
        <w:rPr>
          <w:rFonts w:cs="Arial"/>
          <w:lang w:val="en-AU"/>
        </w:rPr>
        <w:t>T</w:t>
      </w:r>
      <w:r w:rsidRPr="00391D31">
        <w:rPr>
          <w:rFonts w:cs="Arial"/>
          <w:lang w:val="en-AU"/>
        </w:rPr>
        <w:t>he National Partnership agreement on Universal Access to preschool</w:t>
      </w:r>
      <w:r w:rsidR="008607EE" w:rsidRPr="00391D31">
        <w:rPr>
          <w:rFonts w:cs="Arial"/>
          <w:lang w:val="en-AU"/>
        </w:rPr>
        <w:t xml:space="preserve"> </w:t>
      </w:r>
      <w:r w:rsidRPr="00391D31">
        <w:rPr>
          <w:rFonts w:cs="Arial"/>
          <w:lang w:val="en-AU"/>
        </w:rPr>
        <w:t xml:space="preserve">has been </w:t>
      </w:r>
      <w:r w:rsidR="00E87C4D" w:rsidRPr="00391D31">
        <w:rPr>
          <w:rFonts w:cs="Arial"/>
          <w:lang w:val="en-AU"/>
        </w:rPr>
        <w:t>an effective</w:t>
      </w:r>
      <w:r w:rsidRPr="00391D31">
        <w:rPr>
          <w:rFonts w:cs="Arial"/>
          <w:lang w:val="en-AU"/>
        </w:rPr>
        <w:t xml:space="preserve"> vehicle for major change in an historically hard-to-shift area of social policy, as the headline performance indicators under the Agreement attest. </w:t>
      </w:r>
      <w:r w:rsidR="00C56D9D" w:rsidRPr="00391D31">
        <w:rPr>
          <w:rFonts w:cs="Arial"/>
          <w:lang w:val="en-AU"/>
        </w:rPr>
        <w:t>In 2008, preschool enrolments were around 70% and trending down or plateauing in at least two major states</w:t>
      </w:r>
      <w:r w:rsidR="00B96F33" w:rsidRPr="00391D31">
        <w:rPr>
          <w:rFonts w:cs="Arial"/>
          <w:lang w:val="en-AU"/>
        </w:rPr>
        <w:t>,</w:t>
      </w:r>
      <w:r w:rsidR="00383FB1" w:rsidRPr="00391D31">
        <w:rPr>
          <w:rFonts w:cs="Arial"/>
          <w:lang w:val="en-AU"/>
        </w:rPr>
        <w:t xml:space="preserve"> </w:t>
      </w:r>
      <w:r w:rsidR="00B96F33" w:rsidRPr="00391D31">
        <w:rPr>
          <w:rFonts w:cs="Arial"/>
          <w:lang w:val="en-AU"/>
        </w:rPr>
        <w:t>and</w:t>
      </w:r>
      <w:r w:rsidR="009E4507" w:rsidRPr="00391D31">
        <w:rPr>
          <w:rFonts w:cs="Arial"/>
          <w:lang w:val="en-AU"/>
        </w:rPr>
        <w:t xml:space="preserve"> there was no quality measure to assess the educational offerings for children in the year before formal schooling</w:t>
      </w:r>
      <w:r w:rsidR="00C56D9D" w:rsidRPr="00391D31">
        <w:rPr>
          <w:rFonts w:cs="Arial"/>
          <w:lang w:val="en-AU"/>
        </w:rPr>
        <w:t xml:space="preserve">. </w:t>
      </w:r>
      <w:r w:rsidR="00C90221" w:rsidRPr="00391D31">
        <w:rPr>
          <w:rFonts w:cs="Arial"/>
          <w:lang w:val="en-AU"/>
        </w:rPr>
        <w:t>In little more than a decade, enrolment and participation in preschool has increased and broadened</w:t>
      </w:r>
      <w:r w:rsidR="00561AFC" w:rsidRPr="00391D31">
        <w:rPr>
          <w:rFonts w:cs="Arial"/>
          <w:lang w:val="en-AU"/>
        </w:rPr>
        <w:t>. In addition,</w:t>
      </w:r>
      <w:r w:rsidR="00C90221" w:rsidRPr="00391D31">
        <w:rPr>
          <w:rFonts w:cs="Arial"/>
          <w:lang w:val="en-AU"/>
        </w:rPr>
        <w:t xml:space="preserve"> the associated issues of quality and resource materials</w:t>
      </w:r>
      <w:r w:rsidR="00B96F33" w:rsidRPr="00391D31">
        <w:rPr>
          <w:rFonts w:cs="Arial"/>
          <w:lang w:val="en-AU"/>
        </w:rPr>
        <w:t>,</w:t>
      </w:r>
      <w:r w:rsidR="00C90221" w:rsidRPr="00391D31">
        <w:rPr>
          <w:rFonts w:cs="Arial"/>
          <w:lang w:val="en-AU"/>
        </w:rPr>
        <w:t xml:space="preserve"> and crucially the qualifications of the instructor</w:t>
      </w:r>
      <w:r w:rsidR="00B96F33" w:rsidRPr="00391D31">
        <w:rPr>
          <w:rFonts w:cs="Arial"/>
          <w:lang w:val="en-AU"/>
        </w:rPr>
        <w:t>,</w:t>
      </w:r>
      <w:r w:rsidR="00C90221" w:rsidRPr="00391D31">
        <w:rPr>
          <w:rFonts w:cs="Arial"/>
          <w:lang w:val="en-AU"/>
        </w:rPr>
        <w:t xml:space="preserve"> have been the focus of significant attention both through the National Partnership and the associated intergovernmental agreement on a National Quality Framework </w:t>
      </w:r>
      <w:r w:rsidR="00561AFC" w:rsidRPr="00391D31">
        <w:rPr>
          <w:rFonts w:cs="Arial"/>
          <w:lang w:val="en-AU"/>
        </w:rPr>
        <w:t xml:space="preserve">which applies </w:t>
      </w:r>
      <w:r w:rsidR="000433D0">
        <w:rPr>
          <w:rFonts w:cs="Arial"/>
          <w:lang w:val="en-AU"/>
        </w:rPr>
        <w:t>t</w:t>
      </w:r>
      <w:r w:rsidR="00C90221" w:rsidRPr="00391D31">
        <w:rPr>
          <w:rFonts w:cs="Arial"/>
          <w:lang w:val="en-AU"/>
        </w:rPr>
        <w:t xml:space="preserve">o preschool across all delivery settings. </w:t>
      </w:r>
    </w:p>
    <w:p w14:paraId="2683159A" w14:textId="77777777" w:rsidR="0070024F" w:rsidRPr="00391D31" w:rsidRDefault="0070024F" w:rsidP="00506FED">
      <w:pPr>
        <w:rPr>
          <w:rFonts w:cs="Arial"/>
          <w:lang w:val="en-AU"/>
        </w:rPr>
      </w:pPr>
    </w:p>
    <w:p w14:paraId="0DE072D7" w14:textId="77777777" w:rsidR="00C70024" w:rsidRPr="00391D31" w:rsidRDefault="00D57549" w:rsidP="00D57549">
      <w:pPr>
        <w:rPr>
          <w:rFonts w:cs="Arial"/>
          <w:color w:val="000000" w:themeColor="text1"/>
          <w:lang w:val="en-AU"/>
        </w:rPr>
      </w:pPr>
      <w:r w:rsidRPr="00391D31">
        <w:rPr>
          <w:rFonts w:cs="Arial"/>
          <w:color w:val="000000" w:themeColor="text1"/>
          <w:lang w:val="en-AU"/>
        </w:rPr>
        <w:t xml:space="preserve">Australia </w:t>
      </w:r>
      <w:r w:rsidR="00D867E0" w:rsidRPr="00391D31">
        <w:rPr>
          <w:rFonts w:cs="Arial"/>
          <w:color w:val="000000" w:themeColor="text1"/>
          <w:lang w:val="en-AU"/>
        </w:rPr>
        <w:t xml:space="preserve">historically </w:t>
      </w:r>
      <w:r w:rsidRPr="00391D31">
        <w:rPr>
          <w:rFonts w:cs="Arial"/>
          <w:color w:val="000000" w:themeColor="text1"/>
          <w:lang w:val="en-AU"/>
        </w:rPr>
        <w:t>ha</w:t>
      </w:r>
      <w:r w:rsidR="00C70024" w:rsidRPr="00391D31">
        <w:rPr>
          <w:rFonts w:cs="Arial"/>
          <w:color w:val="000000" w:themeColor="text1"/>
          <w:lang w:val="en-AU"/>
        </w:rPr>
        <w:t>d</w:t>
      </w:r>
      <w:r w:rsidRPr="00391D31">
        <w:rPr>
          <w:rFonts w:cs="Arial"/>
          <w:color w:val="000000" w:themeColor="text1"/>
          <w:lang w:val="en-AU"/>
        </w:rPr>
        <w:t xml:space="preserve"> lagged behind OECD countries in its investmen</w:t>
      </w:r>
      <w:r w:rsidR="00866758" w:rsidRPr="00391D31">
        <w:rPr>
          <w:rFonts w:cs="Arial"/>
          <w:color w:val="000000" w:themeColor="text1"/>
          <w:lang w:val="en-AU"/>
        </w:rPr>
        <w:t>t in early childhood education:</w:t>
      </w:r>
    </w:p>
    <w:p w14:paraId="76A256ED" w14:textId="77777777" w:rsidR="00D57549" w:rsidRPr="00391D31" w:rsidRDefault="00866758" w:rsidP="002246B8">
      <w:pPr>
        <w:pStyle w:val="ListParagraph"/>
        <w:numPr>
          <w:ilvl w:val="0"/>
          <w:numId w:val="11"/>
        </w:numPr>
        <w:rPr>
          <w:rFonts w:cs="Arial"/>
          <w:color w:val="000000" w:themeColor="text1"/>
          <w:lang w:val="en-AU"/>
        </w:rPr>
      </w:pPr>
      <w:r w:rsidRPr="00391D31">
        <w:rPr>
          <w:rFonts w:cs="Arial"/>
          <w:color w:val="000000" w:themeColor="text1"/>
          <w:lang w:val="en-AU"/>
        </w:rPr>
        <w:t xml:space="preserve">In 2005 Australia </w:t>
      </w:r>
      <w:r w:rsidR="00D57549" w:rsidRPr="00391D31">
        <w:rPr>
          <w:rFonts w:cs="Arial"/>
          <w:color w:val="000000" w:themeColor="text1"/>
          <w:lang w:val="en-AU"/>
        </w:rPr>
        <w:t>spent just 0.1% of G</w:t>
      </w:r>
      <w:r w:rsidRPr="00391D31">
        <w:rPr>
          <w:rFonts w:cs="Arial"/>
          <w:color w:val="000000" w:themeColor="text1"/>
          <w:lang w:val="en-AU"/>
        </w:rPr>
        <w:t xml:space="preserve">DP on pre-primary education for </w:t>
      </w:r>
      <w:r w:rsidR="00D57549" w:rsidRPr="00391D31">
        <w:rPr>
          <w:rFonts w:cs="Arial"/>
          <w:color w:val="000000" w:themeColor="text1"/>
          <w:lang w:val="en-AU"/>
        </w:rPr>
        <w:t>children 3 years and older</w:t>
      </w:r>
      <w:r w:rsidR="00D867E0" w:rsidRPr="00391D31">
        <w:rPr>
          <w:rFonts w:cs="Arial"/>
          <w:color w:val="000000" w:themeColor="text1"/>
          <w:lang w:val="en-AU"/>
        </w:rPr>
        <w:t>,</w:t>
      </w:r>
      <w:r w:rsidR="00D57549" w:rsidRPr="00391D31">
        <w:rPr>
          <w:rFonts w:cs="Arial"/>
          <w:color w:val="000000" w:themeColor="text1"/>
          <w:lang w:val="en-AU"/>
        </w:rPr>
        <w:t xml:space="preserve"> which was less than a quarter of the OECD average (around 0.5%). Australia was one of two lowest spending countries amongst 34 (including OECD partner countries) for which data was available (only Ireland was lower). (</w:t>
      </w:r>
      <w:r w:rsidR="004C4063" w:rsidRPr="00391D31">
        <w:rPr>
          <w:rFonts w:cs="Arial"/>
          <w:color w:val="000000" w:themeColor="text1"/>
          <w:lang w:val="en-AU"/>
        </w:rPr>
        <w:t>Harrington 2008;</w:t>
      </w:r>
      <w:r w:rsidR="00D57549" w:rsidRPr="00391D31">
        <w:rPr>
          <w:rFonts w:cs="Arial"/>
          <w:color w:val="000000" w:themeColor="text1"/>
          <w:lang w:val="en-AU"/>
        </w:rPr>
        <w:t xml:space="preserve"> </w:t>
      </w:r>
      <w:r w:rsidR="007920C4" w:rsidRPr="00391D31">
        <w:rPr>
          <w:rFonts w:cs="Arial"/>
          <w:color w:val="000000" w:themeColor="text1"/>
          <w:lang w:val="en-AU"/>
        </w:rPr>
        <w:t>Dowling and O’Malley</w:t>
      </w:r>
      <w:r w:rsidR="00D57549" w:rsidRPr="00391D31">
        <w:rPr>
          <w:rFonts w:cs="Arial"/>
          <w:color w:val="000000" w:themeColor="text1"/>
          <w:lang w:val="en-AU"/>
        </w:rPr>
        <w:t xml:space="preserve"> 2009)</w:t>
      </w:r>
      <w:r w:rsidR="003A04A7" w:rsidRPr="00391D31">
        <w:rPr>
          <w:rFonts w:cs="Arial"/>
          <w:color w:val="000000" w:themeColor="text1"/>
          <w:lang w:val="en-AU"/>
        </w:rPr>
        <w:t>.</w:t>
      </w:r>
    </w:p>
    <w:p w14:paraId="4CEDC479" w14:textId="77777777" w:rsidR="00D57549" w:rsidRPr="00391D31" w:rsidRDefault="00D57549" w:rsidP="002246B8">
      <w:pPr>
        <w:pStyle w:val="ListParagraph"/>
        <w:numPr>
          <w:ilvl w:val="0"/>
          <w:numId w:val="11"/>
        </w:numPr>
      </w:pPr>
      <w:r w:rsidRPr="00391D31">
        <w:rPr>
          <w:rFonts w:cs="Arial"/>
          <w:lang w:val="en-AU"/>
        </w:rPr>
        <w:t>Commonwealth funding since 2009 has been associated with a significant rise in investment, with the OECD Education Finance Indicators (2019) showing that Australia’s expenditure had risen to nearly 0.6% of GDP</w:t>
      </w:r>
      <w:r w:rsidR="00D867E0" w:rsidRPr="00391D31">
        <w:rPr>
          <w:rFonts w:cs="Arial"/>
          <w:lang w:val="en-AU"/>
        </w:rPr>
        <w:t xml:space="preserve">, </w:t>
      </w:r>
      <w:r w:rsidRPr="00391D31">
        <w:rPr>
          <w:rFonts w:cs="Arial"/>
          <w:lang w:val="en-AU"/>
        </w:rPr>
        <w:t>25</w:t>
      </w:r>
      <w:r w:rsidRPr="00391D31">
        <w:rPr>
          <w:rFonts w:cs="Arial"/>
          <w:vertAlign w:val="superscript"/>
          <w:lang w:val="en-AU"/>
        </w:rPr>
        <w:t>th</w:t>
      </w:r>
      <w:r w:rsidRPr="00391D31">
        <w:rPr>
          <w:rFonts w:cs="Arial"/>
          <w:lang w:val="en-AU"/>
        </w:rPr>
        <w:t xml:space="preserve"> out of 35 countries, though still below the OECD average</w:t>
      </w:r>
      <w:r w:rsidR="00D867E0" w:rsidRPr="00391D31">
        <w:rPr>
          <w:rFonts w:cs="Arial"/>
          <w:lang w:val="en-AU"/>
        </w:rPr>
        <w:t>.</w:t>
      </w:r>
      <w:r w:rsidR="00383FB1" w:rsidRPr="00391D31">
        <w:rPr>
          <w:rFonts w:cs="Arial"/>
          <w:lang w:val="en-AU"/>
        </w:rPr>
        <w:t xml:space="preserve"> (OECD 2019)</w:t>
      </w:r>
    </w:p>
    <w:p w14:paraId="589731E5" w14:textId="77777777" w:rsidR="00A23264" w:rsidRPr="00391D31" w:rsidRDefault="00A23264" w:rsidP="00B470F2">
      <w:pPr>
        <w:rPr>
          <w:rFonts w:cs="Arial"/>
          <w:lang w:val="en-AU"/>
        </w:rPr>
      </w:pPr>
    </w:p>
    <w:p w14:paraId="3B61F329" w14:textId="77777777" w:rsidR="00B470F2" w:rsidRPr="00391D31" w:rsidRDefault="00A23264" w:rsidP="00B470F2">
      <w:pPr>
        <w:rPr>
          <w:rFonts w:cs="Arial"/>
          <w:color w:val="FF0000"/>
          <w:lang w:val="en-AU"/>
        </w:rPr>
      </w:pPr>
      <w:r w:rsidRPr="00391D31">
        <w:rPr>
          <w:rFonts w:cs="Arial"/>
          <w:lang w:val="en-AU"/>
        </w:rPr>
        <w:t xml:space="preserve">Hand in hand with the funding investment has been the reassertion by the Australian government of a </w:t>
      </w:r>
      <w:r w:rsidR="00F74FD9" w:rsidRPr="00391D31">
        <w:rPr>
          <w:rFonts w:cs="Arial"/>
          <w:lang w:val="en-AU"/>
        </w:rPr>
        <w:t xml:space="preserve">significant </w:t>
      </w:r>
      <w:r w:rsidRPr="00391D31">
        <w:rPr>
          <w:rFonts w:cs="Arial"/>
          <w:lang w:val="en-AU"/>
        </w:rPr>
        <w:t xml:space="preserve">leadership role in early childhood development. </w:t>
      </w:r>
      <w:r w:rsidR="005A526C" w:rsidRPr="00391D31">
        <w:rPr>
          <w:rFonts w:cs="Arial"/>
          <w:lang w:val="en-AU"/>
        </w:rPr>
        <w:t>P</w:t>
      </w:r>
      <w:r w:rsidR="00B470F2" w:rsidRPr="00391D31">
        <w:rPr>
          <w:rFonts w:cs="Arial"/>
          <w:lang w:val="en-AU"/>
        </w:rPr>
        <w:t>reschool for 4 and indeed 3 year olds is now recognised as a core educational issue for all jurisdictions</w:t>
      </w:r>
      <w:r w:rsidRPr="00391D31">
        <w:rPr>
          <w:rFonts w:cs="Arial"/>
          <w:lang w:val="en-AU"/>
        </w:rPr>
        <w:t xml:space="preserve"> and </w:t>
      </w:r>
      <w:r w:rsidR="005A5235" w:rsidRPr="00391D31">
        <w:rPr>
          <w:rFonts w:cs="Arial"/>
          <w:lang w:val="en-AU"/>
        </w:rPr>
        <w:t>an issue for the Council of Australian Governments</w:t>
      </w:r>
      <w:r w:rsidR="00B470F2" w:rsidRPr="00391D31">
        <w:rPr>
          <w:rFonts w:cs="Arial"/>
          <w:lang w:val="en-AU"/>
        </w:rPr>
        <w:t xml:space="preserve">. </w:t>
      </w:r>
      <w:r w:rsidR="005A5235" w:rsidRPr="00391D31">
        <w:rPr>
          <w:rFonts w:cs="Arial"/>
          <w:lang w:val="en-AU"/>
        </w:rPr>
        <w:t xml:space="preserve">This has involved a mix of policy instruments employed at ministerial and official level, involving financial support, </w:t>
      </w:r>
      <w:r w:rsidR="00D1447E" w:rsidRPr="00391D31">
        <w:rPr>
          <w:rFonts w:cs="Arial"/>
          <w:color w:val="000000" w:themeColor="text1"/>
          <w:lang w:val="en-AU"/>
        </w:rPr>
        <w:t xml:space="preserve">legislation, direct government action and leadership through networking and advocacy. </w:t>
      </w:r>
      <w:r w:rsidR="00992E86" w:rsidRPr="00391D31">
        <w:rPr>
          <w:rFonts w:cs="Arial"/>
          <w:color w:val="000000" w:themeColor="text1"/>
          <w:lang w:val="en-AU"/>
        </w:rPr>
        <w:t>Governance arrangements have been strengthened with the integration of early childhood education and childcare in</w:t>
      </w:r>
      <w:r w:rsidR="00F7383B" w:rsidRPr="00391D31">
        <w:rPr>
          <w:rFonts w:cs="Arial"/>
          <w:color w:val="000000" w:themeColor="text1"/>
          <w:lang w:val="en-AU"/>
        </w:rPr>
        <w:t>to</w:t>
      </w:r>
      <w:r w:rsidR="00992E86" w:rsidRPr="00391D31">
        <w:rPr>
          <w:rFonts w:cs="Arial"/>
          <w:color w:val="000000" w:themeColor="text1"/>
          <w:lang w:val="en-AU"/>
        </w:rPr>
        <w:t xml:space="preserve"> the </w:t>
      </w:r>
      <w:r w:rsidR="00CA3223" w:rsidRPr="00391D31">
        <w:rPr>
          <w:rFonts w:cs="Arial"/>
          <w:color w:val="000000" w:themeColor="text1"/>
          <w:lang w:val="en-AU"/>
        </w:rPr>
        <w:t xml:space="preserve">Commonwealth </w:t>
      </w:r>
      <w:r w:rsidR="00992E86" w:rsidRPr="00391D31">
        <w:rPr>
          <w:rFonts w:cs="Arial"/>
          <w:color w:val="000000" w:themeColor="text1"/>
          <w:lang w:val="en-AU"/>
        </w:rPr>
        <w:t xml:space="preserve">education portfolio. </w:t>
      </w:r>
    </w:p>
    <w:p w14:paraId="37BA44FC" w14:textId="77777777" w:rsidR="00506FED" w:rsidRPr="00391D31" w:rsidRDefault="00506FED" w:rsidP="00722C8D">
      <w:pPr>
        <w:rPr>
          <w:rFonts w:cs="Arial"/>
          <w:lang w:val="en-AU"/>
        </w:rPr>
      </w:pPr>
    </w:p>
    <w:p w14:paraId="7FF55042" w14:textId="28EC7B95" w:rsidR="009C5197" w:rsidRPr="00391D31" w:rsidRDefault="00BC5C3C" w:rsidP="009C5197">
      <w:pPr>
        <w:rPr>
          <w:rFonts w:cs="Arial"/>
          <w:color w:val="FF0000"/>
          <w:lang w:val="en-AU"/>
        </w:rPr>
      </w:pPr>
      <w:r w:rsidRPr="00391D31">
        <w:rPr>
          <w:rFonts w:cs="Arial"/>
          <w:lang w:val="en-AU"/>
        </w:rPr>
        <w:t>A</w:t>
      </w:r>
      <w:r w:rsidR="00B470F2" w:rsidRPr="00391D31">
        <w:rPr>
          <w:rFonts w:cs="Arial"/>
          <w:lang w:val="en-AU"/>
        </w:rPr>
        <w:t xml:space="preserve">s </w:t>
      </w:r>
      <w:r w:rsidR="004C4063" w:rsidRPr="00391D31">
        <w:rPr>
          <w:rFonts w:cs="Arial"/>
          <w:lang w:val="en-AU"/>
        </w:rPr>
        <w:t>highlighted</w:t>
      </w:r>
      <w:r w:rsidR="00B470F2" w:rsidRPr="00391D31">
        <w:rPr>
          <w:rFonts w:cs="Arial"/>
          <w:lang w:val="en-AU"/>
        </w:rPr>
        <w:t xml:space="preserve"> </w:t>
      </w:r>
      <w:r w:rsidR="00722C8D" w:rsidRPr="00391D31">
        <w:rPr>
          <w:rFonts w:cs="Arial"/>
          <w:lang w:val="en-AU"/>
        </w:rPr>
        <w:t xml:space="preserve">in a recent ANZSOG publication examining public policy successes in Australia and New Zealand, </w:t>
      </w:r>
      <w:r w:rsidR="00B470F2" w:rsidRPr="00391D31">
        <w:rPr>
          <w:rFonts w:cs="Arial"/>
          <w:lang w:val="en-AU"/>
        </w:rPr>
        <w:t>a policy’s suc</w:t>
      </w:r>
      <w:r w:rsidR="00BC4791" w:rsidRPr="00391D31">
        <w:rPr>
          <w:rFonts w:cs="Arial"/>
          <w:lang w:val="en-AU"/>
        </w:rPr>
        <w:t xml:space="preserve">cess must not only be judged by </w:t>
      </w:r>
      <w:r w:rsidR="00B470F2" w:rsidRPr="00391D31">
        <w:rPr>
          <w:rFonts w:cs="Arial"/>
          <w:lang w:val="en-AU"/>
        </w:rPr>
        <w:t>programmati</w:t>
      </w:r>
      <w:r w:rsidR="005A5235" w:rsidRPr="00391D31">
        <w:rPr>
          <w:rFonts w:cs="Arial"/>
          <w:lang w:val="en-AU"/>
        </w:rPr>
        <w:t>c</w:t>
      </w:r>
      <w:r w:rsidR="004C4063" w:rsidRPr="00391D31">
        <w:rPr>
          <w:rFonts w:cs="Arial"/>
          <w:lang w:val="en-AU"/>
        </w:rPr>
        <w:t>, process</w:t>
      </w:r>
      <w:r w:rsidR="005A5235" w:rsidRPr="00391D31">
        <w:rPr>
          <w:rFonts w:cs="Arial"/>
          <w:lang w:val="en-AU"/>
        </w:rPr>
        <w:t xml:space="preserve"> </w:t>
      </w:r>
      <w:r w:rsidR="00451355" w:rsidRPr="00391D31">
        <w:rPr>
          <w:rFonts w:cs="Arial"/>
          <w:lang w:val="en-AU"/>
        </w:rPr>
        <w:t>and political assessments; t</w:t>
      </w:r>
      <w:r w:rsidR="00B470F2" w:rsidRPr="00391D31">
        <w:rPr>
          <w:rFonts w:cs="Arial"/>
          <w:lang w:val="en-AU"/>
        </w:rPr>
        <w:t>he fourth and very important dimension is success over time</w:t>
      </w:r>
      <w:r w:rsidR="008565E2" w:rsidRPr="00391D31">
        <w:rPr>
          <w:rFonts w:cs="Arial"/>
          <w:lang w:val="en-AU"/>
        </w:rPr>
        <w:t xml:space="preserve"> (</w:t>
      </w:r>
      <w:r w:rsidR="00E258F7">
        <w:rPr>
          <w:rFonts w:cs="Arial"/>
          <w:lang w:val="en-AU"/>
        </w:rPr>
        <w:t xml:space="preserve">Luetjens, Mintrom, &amp; </w:t>
      </w:r>
      <w:r w:rsidR="00E258F7">
        <w:rPr>
          <w:rFonts w:cs="Arial"/>
          <w:lang w:val="en-AU"/>
        </w:rPr>
        <w:lastRenderedPageBreak/>
        <w:t>‘t </w:t>
      </w:r>
      <w:r w:rsidR="008565E2" w:rsidRPr="00391D31">
        <w:rPr>
          <w:rFonts w:cs="Arial"/>
          <w:lang w:val="en-AU"/>
        </w:rPr>
        <w:t>Hart 2019)</w:t>
      </w:r>
      <w:r w:rsidRPr="00391D31">
        <w:rPr>
          <w:rFonts w:cs="Arial"/>
          <w:lang w:val="en-AU"/>
        </w:rPr>
        <w:t>.</w:t>
      </w:r>
      <w:r w:rsidR="00B470F2" w:rsidRPr="00391D31">
        <w:rPr>
          <w:rFonts w:cs="Arial"/>
          <w:lang w:val="en-AU"/>
        </w:rPr>
        <w:t xml:space="preserve"> </w:t>
      </w:r>
      <w:r w:rsidRPr="00391D31">
        <w:rPr>
          <w:rFonts w:cs="Arial"/>
          <w:lang w:val="en-AU"/>
        </w:rPr>
        <w:t>Entrenching and building on the gains to date</w:t>
      </w:r>
      <w:r w:rsidR="00B470F2" w:rsidRPr="00391D31">
        <w:rPr>
          <w:rFonts w:cs="Arial"/>
          <w:lang w:val="en-AU"/>
        </w:rPr>
        <w:t xml:space="preserve"> is a clear priority for this independent review of the Universal Access National Partnership Agreement</w:t>
      </w:r>
      <w:r w:rsidRPr="00391D31">
        <w:rPr>
          <w:rFonts w:cs="Arial"/>
          <w:lang w:val="en-AU"/>
        </w:rPr>
        <w:t>. W</w:t>
      </w:r>
      <w:r w:rsidR="00B470F2" w:rsidRPr="00391D31">
        <w:rPr>
          <w:rFonts w:cs="Arial"/>
          <w:lang w:val="en-AU"/>
        </w:rPr>
        <w:t xml:space="preserve">ithout </w:t>
      </w:r>
      <w:r w:rsidR="005A5235" w:rsidRPr="00391D31">
        <w:rPr>
          <w:rFonts w:cs="Arial"/>
          <w:lang w:val="en-AU"/>
        </w:rPr>
        <w:t xml:space="preserve">long term </w:t>
      </w:r>
      <w:r w:rsidR="00B470F2" w:rsidRPr="00391D31">
        <w:rPr>
          <w:rFonts w:cs="Arial"/>
          <w:lang w:val="en-AU"/>
        </w:rPr>
        <w:t xml:space="preserve">certainty of the Commonwealth’s ongoing </w:t>
      </w:r>
      <w:r w:rsidR="005A5235" w:rsidRPr="00391D31">
        <w:rPr>
          <w:rFonts w:cs="Arial"/>
          <w:lang w:val="en-AU"/>
        </w:rPr>
        <w:t xml:space="preserve">financial </w:t>
      </w:r>
      <w:r w:rsidR="00B470F2" w:rsidRPr="00391D31">
        <w:rPr>
          <w:rFonts w:cs="Arial"/>
          <w:lang w:val="en-AU"/>
        </w:rPr>
        <w:t>contribution</w:t>
      </w:r>
      <w:r w:rsidR="005A5235" w:rsidRPr="00391D31">
        <w:rPr>
          <w:rFonts w:cs="Arial"/>
          <w:lang w:val="en-AU"/>
        </w:rPr>
        <w:t xml:space="preserve"> and leadership</w:t>
      </w:r>
      <w:r w:rsidR="00B470F2" w:rsidRPr="00391D31">
        <w:rPr>
          <w:rFonts w:cs="Arial"/>
          <w:lang w:val="en-AU"/>
        </w:rPr>
        <w:t xml:space="preserve">, this reform cannot be considered an </w:t>
      </w:r>
      <w:r w:rsidR="00B470F2" w:rsidRPr="00391D31">
        <w:rPr>
          <w:rFonts w:cs="Arial"/>
          <w:b/>
          <w:lang w:val="en-AU"/>
        </w:rPr>
        <w:t>enduring</w:t>
      </w:r>
      <w:r w:rsidR="00B470F2" w:rsidRPr="00391D31">
        <w:rPr>
          <w:rFonts w:cs="Arial"/>
          <w:lang w:val="en-AU"/>
        </w:rPr>
        <w:t xml:space="preserve"> success</w:t>
      </w:r>
      <w:r w:rsidR="00B470F2" w:rsidRPr="00391D31">
        <w:rPr>
          <w:rFonts w:cs="Arial"/>
          <w:color w:val="000000" w:themeColor="text1"/>
          <w:lang w:val="en-AU"/>
        </w:rPr>
        <w:t>.</w:t>
      </w:r>
      <w:r w:rsidR="005A5235" w:rsidRPr="00391D31">
        <w:rPr>
          <w:rFonts w:cs="Arial"/>
          <w:color w:val="000000" w:themeColor="text1"/>
          <w:lang w:val="en-AU"/>
        </w:rPr>
        <w:t xml:space="preserve"> </w:t>
      </w:r>
      <w:r w:rsidR="009C5197" w:rsidRPr="00391D31">
        <w:rPr>
          <w:rFonts w:cs="Arial"/>
          <w:color w:val="000000" w:themeColor="text1"/>
          <w:lang w:val="en-AU"/>
        </w:rPr>
        <w:t xml:space="preserve">Ongoing Australian Government investment in preschool for child development and transitioning to school was supported as one of three priority areas for early childhood education and care funding by the Productivity Commission in its landmark inquiry into Early Childhood Childcare and </w:t>
      </w:r>
      <w:r w:rsidR="000433D0">
        <w:rPr>
          <w:rFonts w:cs="Arial"/>
          <w:color w:val="000000" w:themeColor="text1"/>
          <w:lang w:val="en-AU"/>
        </w:rPr>
        <w:t>Early Learning in 2014.</w:t>
      </w:r>
    </w:p>
    <w:p w14:paraId="0114F695" w14:textId="77777777" w:rsidR="009C5197" w:rsidRPr="00391D31" w:rsidRDefault="009C5197" w:rsidP="00506FED">
      <w:pPr>
        <w:rPr>
          <w:rFonts w:cs="Arial"/>
          <w:color w:val="000000" w:themeColor="text1"/>
          <w:lang w:val="en-AU"/>
        </w:rPr>
      </w:pPr>
    </w:p>
    <w:p w14:paraId="1C445652" w14:textId="44A29DF3" w:rsidR="00BC4791" w:rsidRPr="00391D31" w:rsidRDefault="002246B8" w:rsidP="00506FED">
      <w:pPr>
        <w:rPr>
          <w:rFonts w:cs="Arial"/>
          <w:color w:val="000000" w:themeColor="text1"/>
          <w:lang w:val="en-AU"/>
        </w:rPr>
      </w:pPr>
      <w:r w:rsidRPr="00391D31">
        <w:rPr>
          <w:rFonts w:cs="Arial"/>
          <w:color w:val="000000" w:themeColor="text1"/>
          <w:lang w:val="en-AU"/>
        </w:rPr>
        <w:t>Moreover, g</w:t>
      </w:r>
      <w:r w:rsidR="00372F09" w:rsidRPr="00391D31">
        <w:rPr>
          <w:rFonts w:cs="Arial"/>
          <w:color w:val="000000" w:themeColor="text1"/>
          <w:lang w:val="en-AU"/>
        </w:rPr>
        <w:t>iven Australia’s declining performance in school based literac</w:t>
      </w:r>
      <w:r w:rsidRPr="00391D31">
        <w:rPr>
          <w:rFonts w:cs="Arial"/>
          <w:color w:val="000000" w:themeColor="text1"/>
          <w:lang w:val="en-AU"/>
        </w:rPr>
        <w:t xml:space="preserve">y and numeracy results, this would appear to be </w:t>
      </w:r>
      <w:r w:rsidR="00372F09" w:rsidRPr="00391D31">
        <w:rPr>
          <w:rFonts w:cs="Arial"/>
          <w:color w:val="000000" w:themeColor="text1"/>
          <w:lang w:val="en-AU"/>
        </w:rPr>
        <w:t xml:space="preserve">an imperative area for </w:t>
      </w:r>
      <w:r w:rsidR="00F24479" w:rsidRPr="00391D31">
        <w:rPr>
          <w:rFonts w:cs="Arial"/>
          <w:color w:val="000000" w:themeColor="text1"/>
          <w:lang w:val="en-AU"/>
        </w:rPr>
        <w:t xml:space="preserve">ongoing Commonwealth investment in order to </w:t>
      </w:r>
      <w:r w:rsidRPr="00391D31">
        <w:rPr>
          <w:rFonts w:cs="Arial"/>
          <w:color w:val="000000" w:themeColor="text1"/>
          <w:lang w:val="en-AU"/>
        </w:rPr>
        <w:t>ensure that Australian ch</w:t>
      </w:r>
      <w:r w:rsidR="00BC5C3C" w:rsidRPr="00391D31">
        <w:rPr>
          <w:rFonts w:cs="Arial"/>
          <w:color w:val="000000" w:themeColor="text1"/>
          <w:lang w:val="en-AU"/>
        </w:rPr>
        <w:t>i</w:t>
      </w:r>
      <w:r w:rsidRPr="00391D31">
        <w:rPr>
          <w:rFonts w:cs="Arial"/>
          <w:color w:val="000000" w:themeColor="text1"/>
          <w:lang w:val="en-AU"/>
        </w:rPr>
        <w:t>l</w:t>
      </w:r>
      <w:r w:rsidR="00BC5C3C" w:rsidRPr="00391D31">
        <w:rPr>
          <w:rFonts w:cs="Arial"/>
          <w:color w:val="000000" w:themeColor="text1"/>
          <w:lang w:val="en-AU"/>
        </w:rPr>
        <w:t>dr</w:t>
      </w:r>
      <w:r w:rsidRPr="00391D31">
        <w:rPr>
          <w:rFonts w:cs="Arial"/>
          <w:color w:val="000000" w:themeColor="text1"/>
          <w:lang w:val="en-AU"/>
        </w:rPr>
        <w:t xml:space="preserve">en </w:t>
      </w:r>
      <w:r w:rsidR="00F24479" w:rsidRPr="00391D31">
        <w:rPr>
          <w:rFonts w:cs="Arial"/>
          <w:color w:val="000000" w:themeColor="text1"/>
          <w:lang w:val="en-AU"/>
        </w:rPr>
        <w:t xml:space="preserve">receive sufficient </w:t>
      </w:r>
      <w:r w:rsidR="00BC5C3C" w:rsidRPr="00391D31">
        <w:rPr>
          <w:rFonts w:cs="Arial"/>
          <w:color w:val="000000" w:themeColor="text1"/>
          <w:lang w:val="en-AU"/>
        </w:rPr>
        <w:t xml:space="preserve">quality </w:t>
      </w:r>
      <w:r w:rsidR="00F24479" w:rsidRPr="00391D31">
        <w:rPr>
          <w:rFonts w:cs="Arial"/>
          <w:color w:val="000000" w:themeColor="text1"/>
          <w:lang w:val="en-AU"/>
        </w:rPr>
        <w:t>early childhood education to prepare them for formal schooling.</w:t>
      </w:r>
      <w:r w:rsidR="00BC4791" w:rsidRPr="00391D31">
        <w:rPr>
          <w:rFonts w:cs="Arial"/>
          <w:color w:val="FF0000"/>
          <w:lang w:val="en-AU"/>
        </w:rPr>
        <w:t xml:space="preserve"> </w:t>
      </w:r>
      <w:r w:rsidRPr="00391D31">
        <w:rPr>
          <w:rFonts w:cs="Arial"/>
          <w:color w:val="000000" w:themeColor="text1"/>
          <w:lang w:val="en-AU"/>
        </w:rPr>
        <w:t>The OECD has</w:t>
      </w:r>
      <w:r w:rsidR="00BC4791" w:rsidRPr="00391D31">
        <w:rPr>
          <w:rFonts w:cs="Arial"/>
          <w:color w:val="000000" w:themeColor="text1"/>
          <w:lang w:val="en-AU"/>
        </w:rPr>
        <w:t xml:space="preserve"> assessed the</w:t>
      </w:r>
      <w:r w:rsidR="00D61D68" w:rsidRPr="00391D31">
        <w:rPr>
          <w:rFonts w:cs="Arial"/>
          <w:color w:val="000000" w:themeColor="text1"/>
          <w:lang w:val="en-AU"/>
        </w:rPr>
        <w:t xml:space="preserve"> impact of preschool on PISA results</w:t>
      </w:r>
      <w:r w:rsidR="00B02105">
        <w:rPr>
          <w:rFonts w:cs="Arial"/>
          <w:color w:val="000000" w:themeColor="text1"/>
          <w:lang w:val="en-AU"/>
        </w:rPr>
        <w:t>, with thi</w:t>
      </w:r>
      <w:r w:rsidR="00BC5C3C" w:rsidRPr="00391D31">
        <w:rPr>
          <w:rFonts w:cs="Arial"/>
          <w:color w:val="000000" w:themeColor="text1"/>
          <w:lang w:val="en-AU"/>
        </w:rPr>
        <w:t xml:space="preserve">s analysis </w:t>
      </w:r>
      <w:r w:rsidR="00B02105">
        <w:rPr>
          <w:rFonts w:cs="Arial"/>
          <w:color w:val="000000" w:themeColor="text1"/>
          <w:lang w:val="en-AU"/>
        </w:rPr>
        <w:t>for example</w:t>
      </w:r>
      <w:r w:rsidR="00383FB1" w:rsidRPr="00391D31">
        <w:rPr>
          <w:rFonts w:cs="Arial"/>
          <w:color w:val="000000" w:themeColor="text1"/>
          <w:lang w:val="en-AU"/>
        </w:rPr>
        <w:t xml:space="preserve"> </w:t>
      </w:r>
      <w:r w:rsidR="00BC5C3C" w:rsidRPr="00391D31">
        <w:rPr>
          <w:rFonts w:cs="Arial"/>
          <w:color w:val="000000" w:themeColor="text1"/>
          <w:lang w:val="en-AU"/>
        </w:rPr>
        <w:t>clearly</w:t>
      </w:r>
      <w:r w:rsidR="00D61D68" w:rsidRPr="00391D31">
        <w:rPr>
          <w:rFonts w:cs="Arial"/>
          <w:color w:val="000000" w:themeColor="text1"/>
          <w:lang w:val="en-AU"/>
        </w:rPr>
        <w:t xml:space="preserve">: </w:t>
      </w:r>
    </w:p>
    <w:p w14:paraId="04B0575E" w14:textId="77777777" w:rsidR="00506FED" w:rsidRPr="00391D31" w:rsidRDefault="00BC5C3C" w:rsidP="00BC4791">
      <w:pPr>
        <w:ind w:left="720"/>
        <w:rPr>
          <w:rFonts w:cs="Arial"/>
          <w:color w:val="000000" w:themeColor="text1"/>
          <w:lang w:val="en-AU"/>
        </w:rPr>
      </w:pPr>
      <w:r w:rsidRPr="00391D31">
        <w:rPr>
          <w:rFonts w:cs="Arial"/>
          <w:i/>
          <w:color w:val="000000" w:themeColor="text1"/>
          <w:lang w:val="en-AU"/>
        </w:rPr>
        <w:t>…</w:t>
      </w:r>
      <w:r w:rsidR="00D61D68" w:rsidRPr="00391D31">
        <w:rPr>
          <w:rFonts w:cs="Arial"/>
          <w:i/>
        </w:rPr>
        <w:t xml:space="preserve"> linking better performance in the Programme for International Student Assessment (PISA) at the age of 15 with previous participation in early childhood education. For most countries, there are fewer low performers in maths among children who attended more than one year of pre-primary education than among those who did not attend any pre-primary education at all …The difference continues to be significant even when controlling for socio-economic status, gender, immigrant background, language spoken at home, family structure, location of student’s school (rural area, town or city), grade repetition and programme orientation (vocational or general</w:t>
      </w:r>
      <w:r w:rsidR="00D61D68" w:rsidRPr="00391D31">
        <w:rPr>
          <w:rFonts w:cs="Arial"/>
          <w:i/>
          <w:color w:val="000000" w:themeColor="text1"/>
        </w:rPr>
        <w:t>).</w:t>
      </w:r>
      <w:r w:rsidR="00294AD6" w:rsidRPr="00391D31">
        <w:rPr>
          <w:rFonts w:cs="Arial"/>
          <w:i/>
          <w:color w:val="000000" w:themeColor="text1"/>
          <w:lang w:val="en-AU"/>
        </w:rPr>
        <w:t xml:space="preserve"> </w:t>
      </w:r>
      <w:r w:rsidR="00BC4791" w:rsidRPr="00391D31">
        <w:rPr>
          <w:rFonts w:cs="Arial"/>
          <w:color w:val="000000" w:themeColor="text1"/>
          <w:lang w:val="en-AU"/>
        </w:rPr>
        <w:t>(OECD 2016)</w:t>
      </w:r>
    </w:p>
    <w:p w14:paraId="7C146C60" w14:textId="77777777" w:rsidR="00A037DC" w:rsidRPr="00391D31" w:rsidRDefault="00A037DC" w:rsidP="00506FED">
      <w:pPr>
        <w:rPr>
          <w:rFonts w:cs="Arial"/>
          <w:lang w:val="en-AU"/>
        </w:rPr>
      </w:pPr>
    </w:p>
    <w:p w14:paraId="368EA26A" w14:textId="77777777" w:rsidR="00A037DC" w:rsidRPr="00391D31" w:rsidRDefault="002246B8" w:rsidP="00506FED">
      <w:pPr>
        <w:rPr>
          <w:rFonts w:cs="Arial"/>
          <w:lang w:val="en-AU"/>
        </w:rPr>
      </w:pPr>
      <w:r w:rsidRPr="00391D31">
        <w:rPr>
          <w:rFonts w:cs="Arial"/>
          <w:lang w:val="en-AU"/>
        </w:rPr>
        <w:t>Th</w:t>
      </w:r>
      <w:r w:rsidR="00BC5C3C" w:rsidRPr="00391D31">
        <w:rPr>
          <w:rFonts w:cs="Arial"/>
          <w:lang w:val="en-AU"/>
        </w:rPr>
        <w:t xml:space="preserve">e domestic and international evidence make clear the importance of the </w:t>
      </w:r>
      <w:r w:rsidR="00A037DC" w:rsidRPr="00391D31">
        <w:rPr>
          <w:rFonts w:cs="Arial"/>
          <w:lang w:val="en-AU"/>
        </w:rPr>
        <w:t>Australian government</w:t>
      </w:r>
      <w:r w:rsidR="00BC5C3C" w:rsidRPr="00391D31">
        <w:rPr>
          <w:rFonts w:cs="Arial"/>
          <w:lang w:val="en-AU"/>
        </w:rPr>
        <w:t>’s</w:t>
      </w:r>
      <w:r w:rsidR="00A037DC" w:rsidRPr="00391D31">
        <w:rPr>
          <w:rFonts w:cs="Arial"/>
          <w:lang w:val="en-AU"/>
        </w:rPr>
        <w:t xml:space="preserve"> decision in 2020 on </w:t>
      </w:r>
      <w:r w:rsidR="00983A7E" w:rsidRPr="00391D31">
        <w:rPr>
          <w:rFonts w:cs="Arial"/>
          <w:color w:val="000000" w:themeColor="text1"/>
          <w:lang w:val="en-AU"/>
        </w:rPr>
        <w:t xml:space="preserve">the future of </w:t>
      </w:r>
      <w:r w:rsidR="00A037DC" w:rsidRPr="00391D31">
        <w:rPr>
          <w:rFonts w:cs="Arial"/>
          <w:lang w:val="en-AU"/>
        </w:rPr>
        <w:t>this national educational investment.</w:t>
      </w:r>
      <w:r w:rsidR="001169F8" w:rsidRPr="00391D31">
        <w:rPr>
          <w:rFonts w:cs="Arial"/>
          <w:lang w:val="en-AU"/>
        </w:rPr>
        <w:t xml:space="preserve"> The </w:t>
      </w:r>
      <w:r w:rsidR="00BC5C3C" w:rsidRPr="00391D31">
        <w:rPr>
          <w:rFonts w:cs="Arial"/>
          <w:lang w:val="en-AU"/>
        </w:rPr>
        <w:t xml:space="preserve">current review </w:t>
      </w:r>
      <w:r w:rsidR="00AE1BE8" w:rsidRPr="00391D31">
        <w:rPr>
          <w:rFonts w:cs="Arial"/>
          <w:lang w:val="en-AU"/>
        </w:rPr>
        <w:t xml:space="preserve">in </w:t>
      </w:r>
      <w:r w:rsidR="00BC5C3C" w:rsidRPr="00391D31">
        <w:rPr>
          <w:rFonts w:cs="Arial"/>
          <w:lang w:val="en-AU"/>
        </w:rPr>
        <w:t>prepar</w:t>
      </w:r>
      <w:r w:rsidR="00AE1BE8" w:rsidRPr="00391D31">
        <w:rPr>
          <w:rFonts w:cs="Arial"/>
          <w:lang w:val="en-AU"/>
        </w:rPr>
        <w:t>ing</w:t>
      </w:r>
      <w:r w:rsidR="001169F8" w:rsidRPr="00391D31">
        <w:rPr>
          <w:rFonts w:cs="Arial"/>
          <w:lang w:val="en-AU"/>
        </w:rPr>
        <w:t xml:space="preserve"> a national picture of the different preschool systems across all States and Territories</w:t>
      </w:r>
      <w:r w:rsidR="00B75051" w:rsidRPr="00391D31">
        <w:rPr>
          <w:rFonts w:cs="Arial"/>
          <w:lang w:val="en-AU"/>
        </w:rPr>
        <w:t>, across different modes of delivery and through different funding arrangements</w:t>
      </w:r>
      <w:r w:rsidRPr="00391D31">
        <w:rPr>
          <w:rFonts w:cs="Arial"/>
          <w:lang w:val="en-AU"/>
        </w:rPr>
        <w:t>,</w:t>
      </w:r>
      <w:r w:rsidR="00B75051" w:rsidRPr="00391D31">
        <w:rPr>
          <w:rFonts w:cs="Arial"/>
          <w:lang w:val="en-AU"/>
        </w:rPr>
        <w:t xml:space="preserve"> </w:t>
      </w:r>
      <w:r w:rsidR="008F1B8E" w:rsidRPr="00391D31">
        <w:rPr>
          <w:rFonts w:cs="Arial"/>
          <w:lang w:val="en-AU"/>
        </w:rPr>
        <w:t xml:space="preserve">will assist to develop a </w:t>
      </w:r>
      <w:r w:rsidR="00BC5C3C" w:rsidRPr="00391D31">
        <w:rPr>
          <w:rFonts w:cs="Arial"/>
          <w:lang w:val="en-AU"/>
        </w:rPr>
        <w:t xml:space="preserve">strong </w:t>
      </w:r>
      <w:r w:rsidR="008F1B8E" w:rsidRPr="00391D31">
        <w:rPr>
          <w:rFonts w:cs="Arial"/>
          <w:lang w:val="en-AU"/>
        </w:rPr>
        <w:t xml:space="preserve">evidence base to inform future funding and policy settings. We </w:t>
      </w:r>
      <w:r w:rsidR="00E322DF" w:rsidRPr="00391D31">
        <w:rPr>
          <w:rFonts w:cs="Arial"/>
          <w:lang w:val="en-AU"/>
        </w:rPr>
        <w:t xml:space="preserve">expect </w:t>
      </w:r>
      <w:r w:rsidR="008F1B8E" w:rsidRPr="00391D31">
        <w:rPr>
          <w:rFonts w:cs="Arial"/>
          <w:lang w:val="en-AU"/>
        </w:rPr>
        <w:t xml:space="preserve">that this national picture will also incorporate activities undertaken at the Commonwealth level to support </w:t>
      </w:r>
      <w:r w:rsidR="00E322DF" w:rsidRPr="00391D31">
        <w:rPr>
          <w:rFonts w:cs="Arial"/>
          <w:lang w:val="en-AU"/>
        </w:rPr>
        <w:t xml:space="preserve">policies relating to the delivery and outcomes of </w:t>
      </w:r>
      <w:r w:rsidR="008F1B8E" w:rsidRPr="00391D31">
        <w:rPr>
          <w:rFonts w:cs="Arial"/>
          <w:lang w:val="en-AU"/>
        </w:rPr>
        <w:t>preschool, such as research and evaluation, data collection and analysis, workforce measures</w:t>
      </w:r>
      <w:r w:rsidR="00E322DF" w:rsidRPr="00391D31">
        <w:rPr>
          <w:rFonts w:cs="Arial"/>
          <w:lang w:val="en-AU"/>
        </w:rPr>
        <w:t xml:space="preserve"> and the promulgation of early learning tools and frameworks.</w:t>
      </w:r>
    </w:p>
    <w:p w14:paraId="18F97E39" w14:textId="77777777" w:rsidR="00034384" w:rsidRPr="00391D31" w:rsidRDefault="00034384" w:rsidP="00506FED">
      <w:pPr>
        <w:rPr>
          <w:rFonts w:cs="Arial"/>
          <w:lang w:val="en-AU"/>
        </w:rPr>
      </w:pPr>
    </w:p>
    <w:p w14:paraId="366C0FA6" w14:textId="77777777" w:rsidR="00034384" w:rsidRPr="00391D31" w:rsidRDefault="00BC5C3C" w:rsidP="00506FED">
      <w:pPr>
        <w:rPr>
          <w:rFonts w:cs="Arial"/>
          <w:lang w:val="en-AU"/>
        </w:rPr>
      </w:pPr>
      <w:r w:rsidRPr="00391D31">
        <w:rPr>
          <w:rFonts w:cs="Arial"/>
          <w:lang w:val="en-AU"/>
        </w:rPr>
        <w:t xml:space="preserve">Against this background, this </w:t>
      </w:r>
      <w:r w:rsidR="00034384" w:rsidRPr="00391D31">
        <w:rPr>
          <w:rFonts w:cs="Arial"/>
          <w:lang w:val="en-AU"/>
        </w:rPr>
        <w:t xml:space="preserve">submission </w:t>
      </w:r>
      <w:r w:rsidR="00D76F74" w:rsidRPr="00391D31">
        <w:rPr>
          <w:rFonts w:cs="Arial"/>
          <w:lang w:val="en-AU"/>
        </w:rPr>
        <w:t xml:space="preserve">addresses </w:t>
      </w:r>
      <w:r w:rsidR="00E90EA9" w:rsidRPr="00391D31">
        <w:rPr>
          <w:rFonts w:cs="Arial"/>
          <w:lang w:val="en-AU"/>
        </w:rPr>
        <w:t>four priority areas</w:t>
      </w:r>
      <w:r w:rsidR="00482A7B" w:rsidRPr="00391D31">
        <w:rPr>
          <w:rFonts w:cs="Arial"/>
          <w:lang w:val="en-AU"/>
        </w:rPr>
        <w:t xml:space="preserve"> (relating to all of the Review</w:t>
      </w:r>
      <w:r w:rsidR="00547302" w:rsidRPr="00391D31">
        <w:rPr>
          <w:rFonts w:cs="Arial"/>
          <w:lang w:val="en-AU"/>
        </w:rPr>
        <w:t xml:space="preserve"> Discussion Paper</w:t>
      </w:r>
      <w:r w:rsidR="00482A7B" w:rsidRPr="00391D31">
        <w:rPr>
          <w:rFonts w:cs="Arial"/>
          <w:lang w:val="en-AU"/>
        </w:rPr>
        <w:t xml:space="preserve">’s </w:t>
      </w:r>
      <w:r w:rsidR="00547302" w:rsidRPr="00391D31">
        <w:rPr>
          <w:rFonts w:cs="Arial"/>
          <w:lang w:val="en-AU"/>
        </w:rPr>
        <w:t xml:space="preserve">four </w:t>
      </w:r>
      <w:r w:rsidR="00482A7B" w:rsidRPr="00391D31">
        <w:rPr>
          <w:rFonts w:cs="Arial"/>
          <w:lang w:val="en-AU"/>
        </w:rPr>
        <w:t>questions)</w:t>
      </w:r>
      <w:r w:rsidR="008D63DB" w:rsidRPr="00391D31">
        <w:rPr>
          <w:rFonts w:cs="Arial"/>
          <w:lang w:val="en-AU"/>
        </w:rPr>
        <w:t xml:space="preserve"> which remain ‘unfinished business</w:t>
      </w:r>
      <w:r w:rsidR="002246B8" w:rsidRPr="00391D31">
        <w:rPr>
          <w:rFonts w:cs="Arial"/>
          <w:lang w:val="en-AU"/>
        </w:rPr>
        <w:t>’</w:t>
      </w:r>
      <w:r w:rsidR="008D63DB" w:rsidRPr="00391D31">
        <w:rPr>
          <w:rFonts w:cs="Arial"/>
          <w:lang w:val="en-AU"/>
        </w:rPr>
        <w:t xml:space="preserve"> for this significant social policy reform</w:t>
      </w:r>
      <w:r w:rsidR="00034384" w:rsidRPr="00391D31">
        <w:rPr>
          <w:rFonts w:cs="Arial"/>
          <w:lang w:val="en-AU"/>
        </w:rPr>
        <w:t>:</w:t>
      </w:r>
    </w:p>
    <w:p w14:paraId="6AA11CF5" w14:textId="77777777" w:rsidR="00034384" w:rsidRPr="00391D31" w:rsidRDefault="00034384" w:rsidP="00034384">
      <w:pPr>
        <w:pStyle w:val="ListParagraph"/>
        <w:numPr>
          <w:ilvl w:val="0"/>
          <w:numId w:val="2"/>
        </w:numPr>
        <w:rPr>
          <w:rFonts w:cs="Arial"/>
          <w:lang w:val="en-AU"/>
        </w:rPr>
      </w:pPr>
      <w:r w:rsidRPr="00391D31">
        <w:rPr>
          <w:rFonts w:cs="Arial"/>
          <w:lang w:val="en-AU"/>
        </w:rPr>
        <w:t>The cardinal issu</w:t>
      </w:r>
      <w:r w:rsidR="004A475F" w:rsidRPr="00391D31">
        <w:rPr>
          <w:rFonts w:cs="Arial"/>
          <w:lang w:val="en-AU"/>
        </w:rPr>
        <w:t xml:space="preserve">e of </w:t>
      </w:r>
      <w:r w:rsidR="00D57549" w:rsidRPr="00391D31">
        <w:rPr>
          <w:rFonts w:cs="Arial"/>
          <w:lang w:val="en-AU"/>
        </w:rPr>
        <w:t xml:space="preserve">committed and long term </w:t>
      </w:r>
      <w:r w:rsidR="00E90EA9" w:rsidRPr="00391D31">
        <w:rPr>
          <w:rFonts w:cs="Arial"/>
          <w:lang w:val="en-AU"/>
        </w:rPr>
        <w:t>Commonwealth leadership and funding, complemented by</w:t>
      </w:r>
      <w:r w:rsidR="004A475F" w:rsidRPr="00391D31">
        <w:rPr>
          <w:rFonts w:cs="Arial"/>
          <w:lang w:val="en-AU"/>
        </w:rPr>
        <w:t xml:space="preserve"> sustained </w:t>
      </w:r>
      <w:r w:rsidR="00E90EA9" w:rsidRPr="00391D31">
        <w:rPr>
          <w:rFonts w:cs="Arial"/>
          <w:lang w:val="en-AU"/>
        </w:rPr>
        <w:t>engagement</w:t>
      </w:r>
      <w:r w:rsidR="004A475F" w:rsidRPr="00391D31">
        <w:rPr>
          <w:rFonts w:cs="Arial"/>
          <w:lang w:val="en-AU"/>
        </w:rPr>
        <w:t xml:space="preserve"> by </w:t>
      </w:r>
      <w:r w:rsidR="00B03AD6" w:rsidRPr="00391D31">
        <w:rPr>
          <w:rFonts w:cs="Arial"/>
          <w:lang w:val="en-AU"/>
        </w:rPr>
        <w:t>S</w:t>
      </w:r>
      <w:r w:rsidR="004A475F" w:rsidRPr="00391D31">
        <w:rPr>
          <w:rFonts w:cs="Arial"/>
          <w:lang w:val="en-AU"/>
        </w:rPr>
        <w:t>tate</w:t>
      </w:r>
      <w:r w:rsidR="00B03AD6" w:rsidRPr="00391D31">
        <w:rPr>
          <w:rFonts w:cs="Arial"/>
          <w:lang w:val="en-AU"/>
        </w:rPr>
        <w:t xml:space="preserve"> and T</w:t>
      </w:r>
      <w:r w:rsidR="004A475F" w:rsidRPr="00391D31">
        <w:rPr>
          <w:rFonts w:cs="Arial"/>
          <w:lang w:val="en-AU"/>
        </w:rPr>
        <w:t>erritory jurisdictions</w:t>
      </w:r>
    </w:p>
    <w:p w14:paraId="41E0D20C" w14:textId="77777777" w:rsidR="00034384" w:rsidRPr="00391D31" w:rsidRDefault="00E90EA9" w:rsidP="00034384">
      <w:pPr>
        <w:pStyle w:val="ListParagraph"/>
        <w:numPr>
          <w:ilvl w:val="0"/>
          <w:numId w:val="2"/>
        </w:numPr>
        <w:rPr>
          <w:rFonts w:cs="Arial"/>
          <w:lang w:val="en-AU"/>
        </w:rPr>
      </w:pPr>
      <w:r w:rsidRPr="00391D31">
        <w:rPr>
          <w:rFonts w:cs="Arial"/>
          <w:lang w:val="en-AU"/>
        </w:rPr>
        <w:t xml:space="preserve">The </w:t>
      </w:r>
      <w:r w:rsidR="00482A7B" w:rsidRPr="00391D31">
        <w:rPr>
          <w:rFonts w:cs="Arial"/>
          <w:lang w:val="en-AU"/>
        </w:rPr>
        <w:t>need for greater</w:t>
      </w:r>
      <w:r w:rsidRPr="00391D31">
        <w:rPr>
          <w:rFonts w:cs="Arial"/>
          <w:lang w:val="en-AU"/>
        </w:rPr>
        <w:t xml:space="preserve"> focus on increasing the participation in </w:t>
      </w:r>
      <w:r w:rsidR="00E322DF" w:rsidRPr="00391D31">
        <w:rPr>
          <w:rFonts w:cs="Arial"/>
          <w:lang w:val="en-AU"/>
        </w:rPr>
        <w:t xml:space="preserve">quality </w:t>
      </w:r>
      <w:r w:rsidRPr="00391D31">
        <w:rPr>
          <w:rFonts w:cs="Arial"/>
          <w:lang w:val="en-AU"/>
        </w:rPr>
        <w:t>preschool of vulnerable and disadvantaged children throughout Australia</w:t>
      </w:r>
    </w:p>
    <w:p w14:paraId="68E6F78A" w14:textId="77777777" w:rsidR="005A526C" w:rsidRPr="00391D31" w:rsidRDefault="005628E3" w:rsidP="00034384">
      <w:pPr>
        <w:pStyle w:val="ListParagraph"/>
        <w:numPr>
          <w:ilvl w:val="0"/>
          <w:numId w:val="2"/>
        </w:numPr>
        <w:rPr>
          <w:rFonts w:cs="Arial"/>
          <w:lang w:val="en-AU"/>
        </w:rPr>
      </w:pPr>
      <w:r w:rsidRPr="00391D31">
        <w:rPr>
          <w:rFonts w:cs="Arial"/>
          <w:lang w:val="en-AU"/>
        </w:rPr>
        <w:t xml:space="preserve">The priority of </w:t>
      </w:r>
      <w:r w:rsidR="00547302" w:rsidRPr="00391D31">
        <w:rPr>
          <w:rFonts w:cs="Arial"/>
          <w:lang w:val="en-AU"/>
        </w:rPr>
        <w:t xml:space="preserve">improving </w:t>
      </w:r>
      <w:r w:rsidR="00D57549" w:rsidRPr="00391D31">
        <w:rPr>
          <w:rFonts w:cs="Arial"/>
          <w:lang w:val="en-AU"/>
        </w:rPr>
        <w:t xml:space="preserve">the </w:t>
      </w:r>
      <w:r w:rsidR="00922193" w:rsidRPr="00391D31">
        <w:rPr>
          <w:rFonts w:cs="Arial"/>
          <w:lang w:val="en-AU"/>
        </w:rPr>
        <w:t xml:space="preserve">quality of preschool provision within centre based day care, including through measures to address </w:t>
      </w:r>
      <w:r w:rsidR="00E322DF" w:rsidRPr="00391D31">
        <w:rPr>
          <w:rFonts w:cs="Arial"/>
          <w:lang w:val="en-AU"/>
        </w:rPr>
        <w:t xml:space="preserve">current and emerging </w:t>
      </w:r>
      <w:r w:rsidR="00922193" w:rsidRPr="00391D31">
        <w:rPr>
          <w:rFonts w:cs="Arial"/>
          <w:lang w:val="en-AU"/>
        </w:rPr>
        <w:t>gaps</w:t>
      </w:r>
      <w:r w:rsidR="0037492D" w:rsidRPr="00391D31">
        <w:rPr>
          <w:rFonts w:cs="Arial"/>
          <w:lang w:val="en-AU"/>
        </w:rPr>
        <w:t xml:space="preserve"> in </w:t>
      </w:r>
      <w:r w:rsidR="00E322DF" w:rsidRPr="00391D31">
        <w:rPr>
          <w:rFonts w:cs="Arial"/>
          <w:lang w:val="en-AU"/>
        </w:rPr>
        <w:t xml:space="preserve">the workforce of </w:t>
      </w:r>
      <w:r w:rsidR="0037492D" w:rsidRPr="00391D31">
        <w:rPr>
          <w:rFonts w:cs="Arial"/>
          <w:lang w:val="en-AU"/>
        </w:rPr>
        <w:t>qualified early childhood teachers</w:t>
      </w:r>
      <w:r w:rsidR="00AE1BE8" w:rsidRPr="00391D31">
        <w:rPr>
          <w:rFonts w:cs="Arial"/>
          <w:lang w:val="en-AU"/>
        </w:rPr>
        <w:t>, and</w:t>
      </w:r>
    </w:p>
    <w:p w14:paraId="7FB35986" w14:textId="77777777" w:rsidR="0037492D" w:rsidRPr="00391D31" w:rsidRDefault="00E322DF" w:rsidP="00034384">
      <w:pPr>
        <w:pStyle w:val="ListParagraph"/>
        <w:numPr>
          <w:ilvl w:val="0"/>
          <w:numId w:val="2"/>
        </w:numPr>
        <w:rPr>
          <w:rFonts w:cs="Arial"/>
          <w:color w:val="000000" w:themeColor="text1"/>
          <w:lang w:val="en-AU"/>
        </w:rPr>
      </w:pPr>
      <w:r w:rsidRPr="00391D31">
        <w:rPr>
          <w:rFonts w:cs="Arial"/>
          <w:color w:val="000000" w:themeColor="text1"/>
          <w:lang w:val="en-AU"/>
        </w:rPr>
        <w:t xml:space="preserve">The ongoing need </w:t>
      </w:r>
      <w:r w:rsidR="00D57549" w:rsidRPr="00391D31">
        <w:rPr>
          <w:rFonts w:cs="Arial"/>
          <w:color w:val="000000" w:themeColor="text1"/>
          <w:lang w:val="en-AU"/>
        </w:rPr>
        <w:t xml:space="preserve">for dedicated resources and collaborative processes to support innovation, </w:t>
      </w:r>
      <w:r w:rsidRPr="00391D31">
        <w:rPr>
          <w:rFonts w:cs="Arial"/>
          <w:color w:val="000000" w:themeColor="text1"/>
          <w:lang w:val="en-AU"/>
        </w:rPr>
        <w:t>research, data</w:t>
      </w:r>
      <w:r w:rsidR="00BA4A47" w:rsidRPr="00391D31">
        <w:rPr>
          <w:rFonts w:cs="Arial"/>
          <w:color w:val="000000" w:themeColor="text1"/>
          <w:lang w:val="en-AU"/>
        </w:rPr>
        <w:t xml:space="preserve"> improvement</w:t>
      </w:r>
      <w:r w:rsidRPr="00391D31">
        <w:rPr>
          <w:rFonts w:cs="Arial"/>
          <w:color w:val="000000" w:themeColor="text1"/>
          <w:lang w:val="en-AU"/>
        </w:rPr>
        <w:t xml:space="preserve"> and evaluation, and the identification and dissemination of what works</w:t>
      </w:r>
      <w:r w:rsidR="00D57549" w:rsidRPr="00391D31">
        <w:rPr>
          <w:rFonts w:cs="Arial"/>
          <w:color w:val="000000" w:themeColor="text1"/>
          <w:lang w:val="en-AU"/>
        </w:rPr>
        <w:t xml:space="preserve"> across all jurisdictions to ensure the </w:t>
      </w:r>
      <w:r w:rsidR="00B03AD6" w:rsidRPr="00391D31">
        <w:rPr>
          <w:rFonts w:cs="Arial"/>
          <w:color w:val="000000" w:themeColor="text1"/>
          <w:lang w:val="en-AU"/>
        </w:rPr>
        <w:t xml:space="preserve">preschool </w:t>
      </w:r>
      <w:r w:rsidR="00D57549" w:rsidRPr="00391D31">
        <w:rPr>
          <w:rFonts w:cs="Arial"/>
          <w:color w:val="000000" w:themeColor="text1"/>
          <w:lang w:val="en-AU"/>
        </w:rPr>
        <w:t>system continues to improve outcomes for children a</w:t>
      </w:r>
      <w:r w:rsidR="00482A7B" w:rsidRPr="00391D31">
        <w:rPr>
          <w:rFonts w:cs="Arial"/>
          <w:color w:val="000000" w:themeColor="text1"/>
          <w:lang w:val="en-AU"/>
        </w:rPr>
        <w:t>nd to meet the needs of parents</w:t>
      </w:r>
      <w:r w:rsidRPr="00391D31">
        <w:rPr>
          <w:rFonts w:cs="Arial"/>
          <w:color w:val="000000" w:themeColor="text1"/>
          <w:lang w:val="en-AU"/>
        </w:rPr>
        <w:t>.</w:t>
      </w:r>
    </w:p>
    <w:p w14:paraId="1E7E5534" w14:textId="77777777" w:rsidR="004A475F" w:rsidRPr="00391D31" w:rsidRDefault="004A475F" w:rsidP="004A475F">
      <w:pPr>
        <w:rPr>
          <w:rFonts w:cs="Arial"/>
          <w:lang w:val="en-AU"/>
        </w:rPr>
      </w:pPr>
    </w:p>
    <w:p w14:paraId="6F97788A" w14:textId="77777777" w:rsidR="00E322DF" w:rsidRPr="00391D31" w:rsidRDefault="00E322DF" w:rsidP="004A475F">
      <w:pPr>
        <w:rPr>
          <w:rFonts w:cs="Arial"/>
          <w:lang w:val="en-AU"/>
        </w:rPr>
      </w:pPr>
      <w:r w:rsidRPr="00391D31">
        <w:rPr>
          <w:rFonts w:cs="Arial"/>
          <w:lang w:val="en-AU"/>
        </w:rPr>
        <w:t>While not a direct focus of this submission, we note the ongoing challenge</w:t>
      </w:r>
      <w:r w:rsidR="00B01610" w:rsidRPr="00391D31">
        <w:rPr>
          <w:rFonts w:cs="Arial"/>
          <w:lang w:val="en-AU"/>
        </w:rPr>
        <w:t>s created by</w:t>
      </w:r>
      <w:r w:rsidRPr="00391D31">
        <w:rPr>
          <w:rFonts w:cs="Arial"/>
          <w:lang w:val="en-AU"/>
        </w:rPr>
        <w:t xml:space="preserve"> </w:t>
      </w:r>
      <w:r w:rsidR="00B01610" w:rsidRPr="00391D31">
        <w:rPr>
          <w:rFonts w:cs="Arial"/>
          <w:lang w:val="en-AU"/>
        </w:rPr>
        <w:t>differing</w:t>
      </w:r>
      <w:r w:rsidRPr="00391D31">
        <w:rPr>
          <w:rFonts w:cs="Arial"/>
          <w:lang w:val="en-AU"/>
        </w:rPr>
        <w:t xml:space="preserve"> school starting ages, </w:t>
      </w:r>
      <w:r w:rsidR="00B01610" w:rsidRPr="00391D31">
        <w:rPr>
          <w:rFonts w:cs="Arial"/>
          <w:lang w:val="en-AU"/>
        </w:rPr>
        <w:t xml:space="preserve">the diversity of </w:t>
      </w:r>
      <w:r w:rsidRPr="00391D31">
        <w:rPr>
          <w:rFonts w:cs="Arial"/>
          <w:lang w:val="en-AU"/>
        </w:rPr>
        <w:t>settings</w:t>
      </w:r>
      <w:r w:rsidR="00B01610" w:rsidRPr="00391D31">
        <w:rPr>
          <w:rFonts w:cs="Arial"/>
          <w:lang w:val="en-AU"/>
        </w:rPr>
        <w:t>,</w:t>
      </w:r>
      <w:r w:rsidRPr="00391D31">
        <w:rPr>
          <w:rFonts w:cs="Arial"/>
          <w:lang w:val="en-AU"/>
        </w:rPr>
        <w:t xml:space="preserve"> and </w:t>
      </w:r>
      <w:r w:rsidR="00B01610" w:rsidRPr="00391D31">
        <w:rPr>
          <w:rFonts w:cs="Arial"/>
          <w:lang w:val="en-AU"/>
        </w:rPr>
        <w:t xml:space="preserve">differing </w:t>
      </w:r>
      <w:r w:rsidRPr="00391D31">
        <w:rPr>
          <w:rFonts w:cs="Arial"/>
          <w:lang w:val="en-AU"/>
        </w:rPr>
        <w:t>modes of funding and accountabilities across jurisdictions and between sectors (</w:t>
      </w:r>
      <w:r w:rsidR="00B01610" w:rsidRPr="00391D31">
        <w:rPr>
          <w:rFonts w:cs="Arial"/>
          <w:lang w:val="en-AU"/>
        </w:rPr>
        <w:t xml:space="preserve">ie </w:t>
      </w:r>
      <w:r w:rsidRPr="00391D31">
        <w:rPr>
          <w:rFonts w:cs="Arial"/>
          <w:lang w:val="en-AU"/>
        </w:rPr>
        <w:t>government, non-government and child care</w:t>
      </w:r>
      <w:r w:rsidR="00B01610" w:rsidRPr="00391D31">
        <w:rPr>
          <w:rFonts w:cs="Arial"/>
          <w:lang w:val="en-AU"/>
        </w:rPr>
        <w:t xml:space="preserve">). These factors </w:t>
      </w:r>
      <w:r w:rsidRPr="00391D31">
        <w:rPr>
          <w:rFonts w:cs="Arial"/>
          <w:lang w:val="en-AU"/>
        </w:rPr>
        <w:t xml:space="preserve">can </w:t>
      </w:r>
      <w:r w:rsidR="00B01610" w:rsidRPr="00391D31">
        <w:rPr>
          <w:rFonts w:cs="Arial"/>
          <w:lang w:val="en-AU"/>
        </w:rPr>
        <w:t xml:space="preserve">impede </w:t>
      </w:r>
      <w:r w:rsidRPr="00391D31">
        <w:rPr>
          <w:rFonts w:cs="Arial"/>
          <w:lang w:val="en-AU"/>
        </w:rPr>
        <w:t xml:space="preserve">coordination and consistency, </w:t>
      </w:r>
      <w:r w:rsidR="00B01610" w:rsidRPr="00391D31">
        <w:rPr>
          <w:rFonts w:cs="Arial"/>
          <w:lang w:val="en-AU"/>
        </w:rPr>
        <w:t xml:space="preserve">undermine </w:t>
      </w:r>
      <w:r w:rsidRPr="00391D31">
        <w:rPr>
          <w:rFonts w:cs="Arial"/>
          <w:lang w:val="en-AU"/>
        </w:rPr>
        <w:t>smooth transitions between care settings and preschool and from preschool to school</w:t>
      </w:r>
      <w:r w:rsidR="00B01610" w:rsidRPr="00391D31">
        <w:rPr>
          <w:rFonts w:cs="Arial"/>
          <w:lang w:val="en-AU"/>
        </w:rPr>
        <w:t>, and complicate research and performance analysis</w:t>
      </w:r>
      <w:r w:rsidRPr="00391D31">
        <w:rPr>
          <w:rFonts w:cs="Arial"/>
          <w:lang w:val="en-AU"/>
        </w:rPr>
        <w:t xml:space="preserve">. We believe these are issues that governments may consider </w:t>
      </w:r>
      <w:r w:rsidR="00B01610" w:rsidRPr="00391D31">
        <w:rPr>
          <w:rFonts w:cs="Arial"/>
          <w:lang w:val="en-AU"/>
        </w:rPr>
        <w:t>taking action on in the future once the current and prospective reforms are embedded and secured, but now is not an opportune time to expend limited resources and capital – including political capital – to drive major system-wide changes in these areas.</w:t>
      </w:r>
    </w:p>
    <w:p w14:paraId="20F83F5E" w14:textId="77777777" w:rsidR="00E322DF" w:rsidRPr="00391D31" w:rsidRDefault="00E322DF" w:rsidP="004A475F">
      <w:pPr>
        <w:rPr>
          <w:rFonts w:cs="Arial"/>
          <w:lang w:val="en-AU"/>
        </w:rPr>
      </w:pPr>
    </w:p>
    <w:p w14:paraId="6EA3CF17" w14:textId="77777777" w:rsidR="005628E3" w:rsidRPr="00E258F7" w:rsidRDefault="005628E3" w:rsidP="00E258F7">
      <w:pPr>
        <w:pStyle w:val="ListParagraph"/>
        <w:numPr>
          <w:ilvl w:val="0"/>
          <w:numId w:val="15"/>
        </w:numPr>
        <w:ind w:left="851"/>
        <w:rPr>
          <w:rFonts w:cs="Arial"/>
          <w:b/>
          <w:sz w:val="28"/>
          <w:lang w:val="en-AU"/>
        </w:rPr>
      </w:pPr>
      <w:r w:rsidRPr="00E258F7">
        <w:rPr>
          <w:rFonts w:cs="Arial"/>
          <w:b/>
          <w:sz w:val="28"/>
          <w:lang w:val="en-AU"/>
        </w:rPr>
        <w:t>Commonwealth</w:t>
      </w:r>
      <w:r w:rsidR="004A475F" w:rsidRPr="00E258F7">
        <w:rPr>
          <w:rFonts w:cs="Arial"/>
          <w:b/>
          <w:sz w:val="28"/>
          <w:lang w:val="en-AU"/>
        </w:rPr>
        <w:t xml:space="preserve"> </w:t>
      </w:r>
      <w:r w:rsidRPr="00E258F7">
        <w:rPr>
          <w:rFonts w:cs="Arial"/>
          <w:b/>
          <w:sz w:val="28"/>
          <w:lang w:val="en-AU"/>
        </w:rPr>
        <w:t xml:space="preserve">leadership and </w:t>
      </w:r>
      <w:r w:rsidR="004A475F" w:rsidRPr="00E258F7">
        <w:rPr>
          <w:rFonts w:cs="Arial"/>
          <w:b/>
          <w:sz w:val="28"/>
          <w:lang w:val="en-AU"/>
        </w:rPr>
        <w:t>funding for preschool</w:t>
      </w:r>
    </w:p>
    <w:p w14:paraId="1D4C8C4F" w14:textId="77777777" w:rsidR="00DF1378" w:rsidRPr="00391D31" w:rsidRDefault="00DF1378" w:rsidP="005628E3">
      <w:pPr>
        <w:rPr>
          <w:rFonts w:cs="Arial"/>
          <w:lang w:val="en-AU"/>
        </w:rPr>
      </w:pPr>
    </w:p>
    <w:p w14:paraId="1CAF7C5B" w14:textId="6573358E" w:rsidR="00DF1378" w:rsidRPr="00391D31" w:rsidRDefault="00DF1378" w:rsidP="005628E3">
      <w:pPr>
        <w:rPr>
          <w:rFonts w:cs="Arial"/>
          <w:lang w:val="en-AU"/>
        </w:rPr>
      </w:pPr>
      <w:r w:rsidRPr="00391D31">
        <w:rPr>
          <w:rFonts w:cs="Arial"/>
          <w:lang w:val="en-AU"/>
        </w:rPr>
        <w:t xml:space="preserve">The Commonwealth maximises its leadership role in this important area of national social and educational policy </w:t>
      </w:r>
      <w:r w:rsidR="00B03AD6" w:rsidRPr="00391D31">
        <w:rPr>
          <w:rFonts w:cs="Arial"/>
          <w:lang w:val="en-AU"/>
        </w:rPr>
        <w:t xml:space="preserve">principally </w:t>
      </w:r>
      <w:r w:rsidRPr="00391D31">
        <w:rPr>
          <w:rFonts w:cs="Arial"/>
          <w:lang w:val="en-AU"/>
        </w:rPr>
        <w:t xml:space="preserve">through leveraging its funding contribution. </w:t>
      </w:r>
      <w:r w:rsidR="00271B05" w:rsidRPr="00391D31">
        <w:rPr>
          <w:rFonts w:cs="Arial"/>
          <w:lang w:val="en-AU"/>
        </w:rPr>
        <w:t xml:space="preserve">As with other educational funding, such as </w:t>
      </w:r>
      <w:r w:rsidR="00B03AD6" w:rsidRPr="00391D31">
        <w:rPr>
          <w:rFonts w:cs="Arial"/>
          <w:lang w:val="en-AU"/>
        </w:rPr>
        <w:t xml:space="preserve">for </w:t>
      </w:r>
      <w:r w:rsidR="00271B05" w:rsidRPr="00391D31">
        <w:rPr>
          <w:rFonts w:cs="Arial"/>
          <w:lang w:val="en-AU"/>
        </w:rPr>
        <w:t>non</w:t>
      </w:r>
      <w:r w:rsidR="00B03AD6" w:rsidRPr="00391D31">
        <w:rPr>
          <w:rFonts w:cs="Arial"/>
          <w:lang w:val="en-AU"/>
        </w:rPr>
        <w:t>-</w:t>
      </w:r>
      <w:r w:rsidR="00271B05" w:rsidRPr="00391D31">
        <w:rPr>
          <w:rFonts w:cs="Arial"/>
          <w:lang w:val="en-AU"/>
        </w:rPr>
        <w:t>government schools, this collective investment by both national and state tiers of governmen</w:t>
      </w:r>
      <w:r w:rsidR="00CE29F0">
        <w:rPr>
          <w:rFonts w:cs="Arial"/>
          <w:lang w:val="en-AU"/>
        </w:rPr>
        <w:t>t (and also parents) can make it</w:t>
      </w:r>
      <w:r w:rsidR="00271B05" w:rsidRPr="00391D31">
        <w:rPr>
          <w:rFonts w:cs="Arial"/>
          <w:lang w:val="en-AU"/>
        </w:rPr>
        <w:t xml:space="preserve"> difficult</w:t>
      </w:r>
      <w:r w:rsidR="00B03AD6" w:rsidRPr="00391D31">
        <w:rPr>
          <w:rFonts w:cs="Arial"/>
          <w:lang w:val="en-AU"/>
        </w:rPr>
        <w:t>,</w:t>
      </w:r>
      <w:r w:rsidR="00271B05" w:rsidRPr="00391D31">
        <w:rPr>
          <w:rFonts w:cs="Arial"/>
          <w:lang w:val="en-AU"/>
        </w:rPr>
        <w:t xml:space="preserve"> as the Review </w:t>
      </w:r>
      <w:r w:rsidR="00B03AD6" w:rsidRPr="00391D31">
        <w:rPr>
          <w:rFonts w:cs="Arial"/>
          <w:lang w:val="en-AU"/>
        </w:rPr>
        <w:t xml:space="preserve">Discussion Paper </w:t>
      </w:r>
      <w:r w:rsidR="00271B05" w:rsidRPr="00391D31">
        <w:rPr>
          <w:rFonts w:cs="Arial"/>
          <w:lang w:val="en-AU"/>
        </w:rPr>
        <w:t>notes</w:t>
      </w:r>
      <w:r w:rsidR="00B03AD6" w:rsidRPr="00391D31">
        <w:rPr>
          <w:rFonts w:cs="Arial"/>
          <w:lang w:val="en-AU"/>
        </w:rPr>
        <w:t>,</w:t>
      </w:r>
      <w:r w:rsidR="00271B05" w:rsidRPr="00391D31">
        <w:rPr>
          <w:rFonts w:cs="Arial"/>
          <w:lang w:val="en-AU"/>
        </w:rPr>
        <w:t xml:space="preserve"> to single out the specific difference made by national funding. </w:t>
      </w:r>
      <w:r w:rsidR="00B03AD6" w:rsidRPr="00391D31">
        <w:rPr>
          <w:rFonts w:cs="Arial"/>
          <w:lang w:val="en-AU"/>
        </w:rPr>
        <w:t xml:space="preserve">On the other hand, there is little doubt that national leadership and progress would be greatly diminished without the funding lever. </w:t>
      </w:r>
      <w:r w:rsidRPr="00391D31">
        <w:rPr>
          <w:rFonts w:cs="Arial"/>
          <w:lang w:val="en-AU"/>
        </w:rPr>
        <w:t>Th</w:t>
      </w:r>
      <w:r w:rsidR="00B03AD6" w:rsidRPr="00391D31">
        <w:rPr>
          <w:rFonts w:cs="Arial"/>
          <w:lang w:val="en-AU"/>
        </w:rPr>
        <w:t>e</w:t>
      </w:r>
      <w:r w:rsidRPr="00391D31">
        <w:rPr>
          <w:rFonts w:cs="Arial"/>
          <w:lang w:val="en-AU"/>
        </w:rPr>
        <w:t xml:space="preserve"> national leadership role </w:t>
      </w:r>
      <w:r w:rsidR="00B03AD6" w:rsidRPr="00391D31">
        <w:rPr>
          <w:rFonts w:cs="Arial"/>
          <w:lang w:val="en-AU"/>
        </w:rPr>
        <w:t>can also</w:t>
      </w:r>
      <w:r w:rsidR="006923DA" w:rsidRPr="00391D31">
        <w:rPr>
          <w:rFonts w:cs="Arial"/>
          <w:lang w:val="en-AU"/>
        </w:rPr>
        <w:t xml:space="preserve"> </w:t>
      </w:r>
      <w:r w:rsidR="00B03AD6" w:rsidRPr="00391D31">
        <w:rPr>
          <w:rFonts w:cs="Arial"/>
          <w:lang w:val="en-AU"/>
        </w:rPr>
        <w:t>be</w:t>
      </w:r>
      <w:r w:rsidRPr="00391D31">
        <w:rPr>
          <w:rFonts w:cs="Arial"/>
          <w:lang w:val="en-AU"/>
        </w:rPr>
        <w:t xml:space="preserve"> undermined insofar as the Commonwealth </w:t>
      </w:r>
      <w:r w:rsidR="00B80F9D" w:rsidRPr="00391D31">
        <w:rPr>
          <w:rFonts w:cs="Arial"/>
          <w:lang w:val="en-AU"/>
        </w:rPr>
        <w:t>is not willing to make long-term funding commitments</w:t>
      </w:r>
      <w:r w:rsidR="00B03AD6" w:rsidRPr="00391D31">
        <w:rPr>
          <w:rFonts w:cs="Arial"/>
          <w:lang w:val="en-AU"/>
        </w:rPr>
        <w:t>,</w:t>
      </w:r>
      <w:r w:rsidR="00B80F9D" w:rsidRPr="00391D31">
        <w:rPr>
          <w:rFonts w:cs="Arial"/>
          <w:lang w:val="en-AU"/>
        </w:rPr>
        <w:t xml:space="preserve"> and </w:t>
      </w:r>
      <w:r w:rsidR="00B03AD6" w:rsidRPr="00391D31">
        <w:rPr>
          <w:rFonts w:cs="Arial"/>
          <w:lang w:val="en-AU"/>
        </w:rPr>
        <w:t xml:space="preserve">maintaining progress can also be undermined </w:t>
      </w:r>
      <w:r w:rsidR="00B80F9D" w:rsidRPr="00391D31">
        <w:rPr>
          <w:rFonts w:cs="Arial"/>
          <w:lang w:val="en-AU"/>
        </w:rPr>
        <w:t>insofar as state and territory governments seek to reduce their own effort in financial and policy terms.</w:t>
      </w:r>
    </w:p>
    <w:p w14:paraId="134277BE" w14:textId="77777777" w:rsidR="00B80F9D" w:rsidRPr="00391D31" w:rsidRDefault="00B80F9D" w:rsidP="005628E3">
      <w:pPr>
        <w:rPr>
          <w:rFonts w:cs="Arial"/>
          <w:lang w:val="en-AU"/>
        </w:rPr>
      </w:pPr>
    </w:p>
    <w:p w14:paraId="77F86ED7" w14:textId="77777777" w:rsidR="005A5235" w:rsidRPr="00391D31" w:rsidRDefault="005A5235" w:rsidP="005628E3">
      <w:pPr>
        <w:rPr>
          <w:rFonts w:cs="Arial"/>
          <w:lang w:val="en-AU"/>
        </w:rPr>
      </w:pPr>
      <w:r w:rsidRPr="00391D31">
        <w:rPr>
          <w:rFonts w:cs="Arial"/>
          <w:lang w:val="en-AU"/>
        </w:rPr>
        <w:t xml:space="preserve">As a result of decisions taken by </w:t>
      </w:r>
      <w:r w:rsidR="00B01610" w:rsidRPr="00391D31">
        <w:rPr>
          <w:rFonts w:cs="Arial"/>
          <w:lang w:val="en-AU"/>
        </w:rPr>
        <w:t xml:space="preserve">governments of both political persuasions since 2007, Commonwealth </w:t>
      </w:r>
      <w:r w:rsidRPr="00391D31">
        <w:rPr>
          <w:rFonts w:cs="Arial"/>
          <w:lang w:val="en-AU"/>
        </w:rPr>
        <w:t xml:space="preserve">preschool funding has been </w:t>
      </w:r>
      <w:r w:rsidR="00B01610" w:rsidRPr="00391D31">
        <w:rPr>
          <w:rFonts w:cs="Arial"/>
          <w:lang w:val="en-AU"/>
        </w:rPr>
        <w:t>significantly increased</w:t>
      </w:r>
      <w:r w:rsidR="00DF1378" w:rsidRPr="00391D31">
        <w:rPr>
          <w:rFonts w:cs="Arial"/>
          <w:lang w:val="en-AU"/>
        </w:rPr>
        <w:t xml:space="preserve"> in the past ten years</w:t>
      </w:r>
      <w:r w:rsidR="00B01610" w:rsidRPr="00391D31">
        <w:rPr>
          <w:rFonts w:cs="Arial"/>
          <w:lang w:val="en-AU"/>
        </w:rPr>
        <w:t xml:space="preserve">, </w:t>
      </w:r>
      <w:r w:rsidR="00DF1378" w:rsidRPr="00391D31">
        <w:rPr>
          <w:rFonts w:cs="Arial"/>
          <w:lang w:val="en-AU"/>
        </w:rPr>
        <w:t>but</w:t>
      </w:r>
      <w:r w:rsidR="00B01610" w:rsidRPr="00391D31">
        <w:rPr>
          <w:rFonts w:cs="Arial"/>
          <w:lang w:val="en-AU"/>
        </w:rPr>
        <w:t xml:space="preserve"> </w:t>
      </w:r>
      <w:r w:rsidR="00110B68" w:rsidRPr="00391D31">
        <w:rPr>
          <w:rFonts w:cs="Arial"/>
          <w:lang w:val="en-AU"/>
        </w:rPr>
        <w:t>exten</w:t>
      </w:r>
      <w:r w:rsidR="00B01610" w:rsidRPr="00391D31">
        <w:rPr>
          <w:rFonts w:cs="Arial"/>
          <w:lang w:val="en-AU"/>
        </w:rPr>
        <w:t xml:space="preserve">sions </w:t>
      </w:r>
      <w:r w:rsidR="00B80F9D" w:rsidRPr="00391D31">
        <w:rPr>
          <w:rFonts w:cs="Arial"/>
          <w:lang w:val="en-AU"/>
        </w:rPr>
        <w:t xml:space="preserve">to this funding have </w:t>
      </w:r>
      <w:r w:rsidR="00B01610" w:rsidRPr="00391D31">
        <w:rPr>
          <w:rFonts w:cs="Arial"/>
          <w:lang w:val="en-AU"/>
        </w:rPr>
        <w:t xml:space="preserve">recently </w:t>
      </w:r>
      <w:r w:rsidR="00DF1378" w:rsidRPr="00391D31">
        <w:rPr>
          <w:rFonts w:cs="Arial"/>
          <w:lang w:val="en-AU"/>
        </w:rPr>
        <w:t xml:space="preserve">been </w:t>
      </w:r>
      <w:r w:rsidR="00B80F9D" w:rsidRPr="00391D31">
        <w:rPr>
          <w:rFonts w:cs="Arial"/>
          <w:lang w:val="en-AU"/>
        </w:rPr>
        <w:t xml:space="preserve">provided </w:t>
      </w:r>
      <w:r w:rsidR="00110B68" w:rsidRPr="00391D31">
        <w:rPr>
          <w:rFonts w:cs="Arial"/>
          <w:lang w:val="en-AU"/>
        </w:rPr>
        <w:t>on a short term</w:t>
      </w:r>
      <w:r w:rsidR="00B01610" w:rsidRPr="00391D31">
        <w:rPr>
          <w:rFonts w:cs="Arial"/>
          <w:lang w:val="en-AU"/>
        </w:rPr>
        <w:t>, year-to-year</w:t>
      </w:r>
      <w:r w:rsidR="00110B68" w:rsidRPr="00391D31">
        <w:rPr>
          <w:rFonts w:cs="Arial"/>
          <w:lang w:val="en-AU"/>
        </w:rPr>
        <w:t xml:space="preserve"> basis. </w:t>
      </w:r>
      <w:r w:rsidR="00B80F9D" w:rsidRPr="00391D31">
        <w:rPr>
          <w:rFonts w:cs="Arial"/>
          <w:lang w:val="en-AU"/>
        </w:rPr>
        <w:t>T</w:t>
      </w:r>
      <w:r w:rsidR="005E26B6" w:rsidRPr="00391D31">
        <w:rPr>
          <w:rFonts w:cs="Arial"/>
          <w:lang w:val="en-AU"/>
        </w:rPr>
        <w:t xml:space="preserve">he </w:t>
      </w:r>
      <w:r w:rsidR="00B01610" w:rsidRPr="00391D31">
        <w:rPr>
          <w:rFonts w:cs="Arial"/>
          <w:lang w:val="en-AU"/>
        </w:rPr>
        <w:t xml:space="preserve">Commonwealth’s </w:t>
      </w:r>
      <w:r w:rsidR="005E26B6" w:rsidRPr="00391D31">
        <w:rPr>
          <w:rFonts w:cs="Arial"/>
          <w:lang w:val="en-AU"/>
        </w:rPr>
        <w:t xml:space="preserve">contribution </w:t>
      </w:r>
      <w:r w:rsidR="00B01610" w:rsidRPr="00391D31">
        <w:rPr>
          <w:rFonts w:cs="Arial"/>
          <w:lang w:val="en-AU"/>
        </w:rPr>
        <w:t xml:space="preserve">has </w:t>
      </w:r>
      <w:r w:rsidR="00B03AD6" w:rsidRPr="00391D31">
        <w:rPr>
          <w:rFonts w:cs="Arial"/>
          <w:lang w:val="en-AU"/>
        </w:rPr>
        <w:t xml:space="preserve">also </w:t>
      </w:r>
      <w:r w:rsidR="00B80F9D" w:rsidRPr="00391D31">
        <w:rPr>
          <w:rFonts w:cs="Arial"/>
          <w:lang w:val="en-AU"/>
        </w:rPr>
        <w:t>never</w:t>
      </w:r>
      <w:r w:rsidR="00B01610" w:rsidRPr="00391D31">
        <w:rPr>
          <w:rFonts w:cs="Arial"/>
          <w:lang w:val="en-AU"/>
        </w:rPr>
        <w:t xml:space="preserve"> </w:t>
      </w:r>
      <w:r w:rsidR="005E26B6" w:rsidRPr="00391D31">
        <w:rPr>
          <w:rFonts w:cs="Arial"/>
          <w:lang w:val="en-AU"/>
        </w:rPr>
        <w:t xml:space="preserve">been indexed to allow for cost </w:t>
      </w:r>
      <w:r w:rsidR="00B01610" w:rsidRPr="00391D31">
        <w:rPr>
          <w:rFonts w:cs="Arial"/>
          <w:lang w:val="en-AU"/>
        </w:rPr>
        <w:t xml:space="preserve">or population </w:t>
      </w:r>
      <w:r w:rsidR="005E26B6" w:rsidRPr="00391D31">
        <w:rPr>
          <w:rFonts w:cs="Arial"/>
          <w:lang w:val="en-AU"/>
        </w:rPr>
        <w:t xml:space="preserve">increases. </w:t>
      </w:r>
      <w:r w:rsidR="00110B68" w:rsidRPr="00391D31">
        <w:rPr>
          <w:rFonts w:cs="Arial"/>
          <w:lang w:val="en-AU"/>
        </w:rPr>
        <w:t>With the heralded return to surplus in the Commonwealth bu</w:t>
      </w:r>
      <w:r w:rsidR="005E26B6" w:rsidRPr="00391D31">
        <w:rPr>
          <w:rFonts w:cs="Arial"/>
          <w:lang w:val="en-AU"/>
        </w:rPr>
        <w:t xml:space="preserve">dget, </w:t>
      </w:r>
      <w:r w:rsidR="00DF1378" w:rsidRPr="00391D31">
        <w:rPr>
          <w:rFonts w:cs="Arial"/>
          <w:lang w:val="en-AU"/>
        </w:rPr>
        <w:t xml:space="preserve">and in order to provide the sector and parents with greater stability and confidence about future employment and service decisions, </w:t>
      </w:r>
      <w:r w:rsidR="005E26B6" w:rsidRPr="00391D31">
        <w:rPr>
          <w:rFonts w:cs="Arial"/>
          <w:lang w:val="en-AU"/>
        </w:rPr>
        <w:t xml:space="preserve">four </w:t>
      </w:r>
      <w:r w:rsidR="00110B68" w:rsidRPr="00391D31">
        <w:rPr>
          <w:rFonts w:cs="Arial"/>
          <w:lang w:val="en-AU"/>
        </w:rPr>
        <w:t xml:space="preserve">year funding through the forward estimates should again be </w:t>
      </w:r>
      <w:r w:rsidR="00DF1378" w:rsidRPr="00391D31">
        <w:rPr>
          <w:rFonts w:cs="Arial"/>
          <w:lang w:val="en-AU"/>
        </w:rPr>
        <w:t xml:space="preserve">provided </w:t>
      </w:r>
      <w:r w:rsidR="00110B68" w:rsidRPr="00391D31">
        <w:rPr>
          <w:rFonts w:cs="Arial"/>
          <w:lang w:val="en-AU"/>
        </w:rPr>
        <w:t>in the 2020 Budget context.</w:t>
      </w:r>
    </w:p>
    <w:p w14:paraId="10C11E80" w14:textId="77777777" w:rsidR="00702E12" w:rsidRPr="00391D31" w:rsidRDefault="00702E12" w:rsidP="005628E3">
      <w:pPr>
        <w:rPr>
          <w:rFonts w:cs="Arial"/>
          <w:lang w:val="en-AU"/>
        </w:rPr>
      </w:pPr>
    </w:p>
    <w:p w14:paraId="5BBBD9A8" w14:textId="77777777" w:rsidR="0022232F" w:rsidRPr="00391D31" w:rsidRDefault="0022232F" w:rsidP="005628E3">
      <w:pPr>
        <w:rPr>
          <w:rFonts w:cs="Arial"/>
          <w:lang w:val="en-AU"/>
        </w:rPr>
      </w:pPr>
      <w:r w:rsidRPr="00391D31">
        <w:rPr>
          <w:rFonts w:cs="Arial"/>
          <w:lang w:val="en-AU"/>
        </w:rPr>
        <w:t>The productivity gains from preschool investment have been well known since James Heckman’</w:t>
      </w:r>
      <w:r w:rsidR="00007B1E" w:rsidRPr="00391D31">
        <w:rPr>
          <w:rFonts w:cs="Arial"/>
          <w:lang w:val="en-AU"/>
        </w:rPr>
        <w:t>s graphic</w:t>
      </w:r>
      <w:r w:rsidR="00B03AD6" w:rsidRPr="00391D31">
        <w:rPr>
          <w:rFonts w:cs="Arial"/>
          <w:lang w:val="en-AU"/>
        </w:rPr>
        <w:t xml:space="preserve"> demonstration of</w:t>
      </w:r>
      <w:r w:rsidR="00007B1E" w:rsidRPr="00391D31">
        <w:rPr>
          <w:rFonts w:cs="Arial"/>
          <w:lang w:val="en-AU"/>
        </w:rPr>
        <w:t xml:space="preserve"> how the economic return on investment </w:t>
      </w:r>
      <w:r w:rsidR="00B03AD6" w:rsidRPr="00391D31">
        <w:rPr>
          <w:rFonts w:cs="Arial"/>
          <w:lang w:val="en-AU"/>
        </w:rPr>
        <w:t xml:space="preserve">in </w:t>
      </w:r>
      <w:r w:rsidR="00007B1E" w:rsidRPr="00391D31">
        <w:rPr>
          <w:rFonts w:cs="Arial"/>
          <w:lang w:val="en-AU"/>
        </w:rPr>
        <w:t xml:space="preserve">the early years far outstripped that </w:t>
      </w:r>
      <w:r w:rsidR="00B03AD6" w:rsidRPr="00391D31">
        <w:rPr>
          <w:rFonts w:cs="Arial"/>
          <w:lang w:val="en-AU"/>
        </w:rPr>
        <w:t xml:space="preserve">in </w:t>
      </w:r>
      <w:r w:rsidR="00007B1E" w:rsidRPr="00391D31">
        <w:rPr>
          <w:rFonts w:cs="Arial"/>
          <w:lang w:val="en-AU"/>
        </w:rPr>
        <w:t>later years.</w:t>
      </w:r>
      <w:r w:rsidRPr="00391D31">
        <w:rPr>
          <w:rFonts w:cs="Arial"/>
          <w:lang w:val="en-AU"/>
        </w:rPr>
        <w:t xml:space="preserve"> The </w:t>
      </w:r>
      <w:r w:rsidRPr="00391D31">
        <w:rPr>
          <w:rFonts w:cs="Arial"/>
          <w:i/>
          <w:lang w:val="en-AU"/>
        </w:rPr>
        <w:t>Lifting Our Game</w:t>
      </w:r>
      <w:r w:rsidR="003A04A7" w:rsidRPr="00391D31">
        <w:rPr>
          <w:rFonts w:cs="Arial"/>
          <w:lang w:val="en-AU"/>
        </w:rPr>
        <w:t xml:space="preserve"> </w:t>
      </w:r>
      <w:r w:rsidRPr="00391D31">
        <w:rPr>
          <w:rFonts w:cs="Arial"/>
          <w:lang w:val="en-AU"/>
        </w:rPr>
        <w:t>report</w:t>
      </w:r>
      <w:r w:rsidR="00F26991" w:rsidRPr="00391D31">
        <w:rPr>
          <w:rFonts w:cs="Arial"/>
          <w:lang w:val="en-AU"/>
        </w:rPr>
        <w:t xml:space="preserve"> commissioned by </w:t>
      </w:r>
      <w:r w:rsidR="0006716A" w:rsidRPr="00391D31">
        <w:rPr>
          <w:rFonts w:cs="Arial"/>
          <w:lang w:val="en-AU"/>
        </w:rPr>
        <w:t xml:space="preserve">State and Territory </w:t>
      </w:r>
      <w:r w:rsidR="00F26991" w:rsidRPr="00391D31">
        <w:rPr>
          <w:rFonts w:cs="Arial"/>
          <w:lang w:val="en-AU"/>
        </w:rPr>
        <w:t>senior officials in 2017</w:t>
      </w:r>
      <w:r w:rsidRPr="00391D31">
        <w:rPr>
          <w:rFonts w:cs="Arial"/>
          <w:lang w:val="en-AU"/>
        </w:rPr>
        <w:t xml:space="preserve"> presents a table on the evidenc</w:t>
      </w:r>
      <w:r w:rsidR="00007B1E" w:rsidRPr="00391D31">
        <w:rPr>
          <w:rFonts w:cs="Arial"/>
          <w:lang w:val="en-AU"/>
        </w:rPr>
        <w:t>e from international cost-benefit analyses</w:t>
      </w:r>
      <w:r w:rsidRPr="00391D31">
        <w:rPr>
          <w:rFonts w:cs="Arial"/>
          <w:lang w:val="en-AU"/>
        </w:rPr>
        <w:t xml:space="preserve"> not only for targeted but also universal prescho</w:t>
      </w:r>
      <w:r w:rsidR="00007B1E" w:rsidRPr="00391D31">
        <w:rPr>
          <w:rFonts w:cs="Arial"/>
          <w:lang w:val="en-AU"/>
        </w:rPr>
        <w:t xml:space="preserve">ol programs in countries such </w:t>
      </w:r>
      <w:r w:rsidR="006F397E" w:rsidRPr="00391D31">
        <w:rPr>
          <w:rFonts w:cs="Arial"/>
          <w:lang w:val="en-AU"/>
        </w:rPr>
        <w:t>as Canada and the United States, and also reports on an Australian economic modelling study undertaken by P</w:t>
      </w:r>
      <w:r w:rsidR="003A04A7" w:rsidRPr="00391D31">
        <w:rPr>
          <w:rFonts w:cs="Arial"/>
          <w:lang w:val="en-AU"/>
        </w:rPr>
        <w:t>w</w:t>
      </w:r>
      <w:r w:rsidR="006F397E" w:rsidRPr="00391D31">
        <w:rPr>
          <w:rFonts w:cs="Arial"/>
          <w:lang w:val="en-AU"/>
        </w:rPr>
        <w:t>C in 2014</w:t>
      </w:r>
      <w:r w:rsidR="00F8708E" w:rsidRPr="00391D31">
        <w:rPr>
          <w:rFonts w:cs="Arial"/>
          <w:lang w:val="en-AU"/>
        </w:rPr>
        <w:t xml:space="preserve"> </w:t>
      </w:r>
      <w:r w:rsidR="00007B1E" w:rsidRPr="00391D31">
        <w:rPr>
          <w:rFonts w:cs="Arial"/>
          <w:lang w:val="en-AU"/>
        </w:rPr>
        <w:t>(</w:t>
      </w:r>
      <w:r w:rsidR="004C4063" w:rsidRPr="00391D31">
        <w:rPr>
          <w:rFonts w:cs="Arial"/>
          <w:lang w:val="en-AU"/>
        </w:rPr>
        <w:t xml:space="preserve">Pascoe and Brennan </w:t>
      </w:r>
      <w:r w:rsidR="00007B1E" w:rsidRPr="00391D31">
        <w:rPr>
          <w:rFonts w:cs="Arial"/>
          <w:lang w:val="en-AU"/>
        </w:rPr>
        <w:t>201</w:t>
      </w:r>
      <w:r w:rsidR="00F26991" w:rsidRPr="00391D31">
        <w:rPr>
          <w:rFonts w:cs="Arial"/>
          <w:lang w:val="en-AU"/>
        </w:rPr>
        <w:t>7</w:t>
      </w:r>
      <w:r w:rsidR="00007B1E" w:rsidRPr="00391D31">
        <w:rPr>
          <w:rFonts w:cs="Arial"/>
          <w:lang w:val="en-AU"/>
        </w:rPr>
        <w:t>: 53</w:t>
      </w:r>
      <w:r w:rsidR="006F397E" w:rsidRPr="00391D31">
        <w:rPr>
          <w:rFonts w:cs="Arial"/>
          <w:lang w:val="en-AU"/>
        </w:rPr>
        <w:t>-54</w:t>
      </w:r>
      <w:r w:rsidR="004C4063" w:rsidRPr="00391D31">
        <w:rPr>
          <w:rFonts w:cs="Arial"/>
          <w:lang w:val="en-AU"/>
        </w:rPr>
        <w:t>).</w:t>
      </w:r>
    </w:p>
    <w:p w14:paraId="5099F4F8" w14:textId="77777777" w:rsidR="00B03AD6" w:rsidRPr="00391D31" w:rsidRDefault="00B03AD6" w:rsidP="005628E3">
      <w:pPr>
        <w:rPr>
          <w:rFonts w:cs="Arial"/>
          <w:lang w:val="en-AU"/>
        </w:rPr>
      </w:pPr>
    </w:p>
    <w:p w14:paraId="3D57C05C" w14:textId="77777777" w:rsidR="00702E12" w:rsidRPr="00391D31" w:rsidRDefault="002B307B" w:rsidP="005628E3">
      <w:pPr>
        <w:rPr>
          <w:rFonts w:cs="Arial"/>
          <w:lang w:val="en-AU"/>
        </w:rPr>
      </w:pPr>
      <w:r w:rsidRPr="00391D31">
        <w:rPr>
          <w:rFonts w:cs="Arial"/>
          <w:lang w:val="en-AU"/>
        </w:rPr>
        <w:t xml:space="preserve">According to the </w:t>
      </w:r>
      <w:r w:rsidRPr="00391D31">
        <w:rPr>
          <w:rFonts w:cs="Arial"/>
          <w:i/>
          <w:lang w:val="en-AU"/>
        </w:rPr>
        <w:t>Report on Government Services</w:t>
      </w:r>
      <w:r w:rsidRPr="00391D31">
        <w:rPr>
          <w:rFonts w:cs="Arial"/>
          <w:lang w:val="en-AU"/>
        </w:rPr>
        <w:t xml:space="preserve"> </w:t>
      </w:r>
      <w:r w:rsidR="00365318" w:rsidRPr="00391D31">
        <w:rPr>
          <w:rFonts w:cs="Arial"/>
          <w:lang w:val="en-AU"/>
        </w:rPr>
        <w:t xml:space="preserve">(ROGS) </w:t>
      </w:r>
      <w:r w:rsidRPr="00391D31">
        <w:rPr>
          <w:rFonts w:cs="Arial"/>
          <w:lang w:val="en-AU"/>
        </w:rPr>
        <w:t>for 2019</w:t>
      </w:r>
      <w:r w:rsidR="009C2A7F" w:rsidRPr="00391D31">
        <w:rPr>
          <w:rFonts w:cs="Arial"/>
          <w:lang w:val="en-AU"/>
        </w:rPr>
        <w:t xml:space="preserve">, </w:t>
      </w:r>
      <w:r w:rsidR="00B03AD6" w:rsidRPr="00391D31">
        <w:rPr>
          <w:rFonts w:cs="Arial"/>
          <w:lang w:val="en-AU"/>
        </w:rPr>
        <w:t xml:space="preserve">State </w:t>
      </w:r>
      <w:r w:rsidR="009C2A7F" w:rsidRPr="00391D31">
        <w:rPr>
          <w:rFonts w:cs="Arial"/>
          <w:lang w:val="en-AU"/>
        </w:rPr>
        <w:t xml:space="preserve">and </w:t>
      </w:r>
      <w:r w:rsidR="00B03AD6" w:rsidRPr="00391D31">
        <w:rPr>
          <w:rFonts w:cs="Arial"/>
          <w:lang w:val="en-AU"/>
        </w:rPr>
        <w:t xml:space="preserve">Territory </w:t>
      </w:r>
      <w:r w:rsidR="009C2A7F" w:rsidRPr="00391D31">
        <w:rPr>
          <w:rFonts w:cs="Arial"/>
          <w:lang w:val="en-AU"/>
        </w:rPr>
        <w:t>government recurrent expenditure on preschool services increased between 2</w:t>
      </w:r>
      <w:r w:rsidR="00F975C2" w:rsidRPr="00391D31">
        <w:rPr>
          <w:rFonts w:cs="Arial"/>
          <w:lang w:val="en-AU"/>
        </w:rPr>
        <w:t>012-13 and 2017-18</w:t>
      </w:r>
      <w:r w:rsidR="009C2A7F" w:rsidRPr="00391D31">
        <w:rPr>
          <w:rFonts w:cs="Arial"/>
          <w:lang w:val="en-AU"/>
        </w:rPr>
        <w:t xml:space="preserve"> by around 22% </w:t>
      </w:r>
      <w:r w:rsidR="00F975C2" w:rsidRPr="00391D31">
        <w:rPr>
          <w:rFonts w:cs="Arial"/>
          <w:lang w:val="en-AU"/>
        </w:rPr>
        <w:t xml:space="preserve">in real terms </w:t>
      </w:r>
      <w:r w:rsidR="009C2A7F" w:rsidRPr="00391D31">
        <w:rPr>
          <w:rFonts w:cs="Arial"/>
          <w:lang w:val="en-AU"/>
        </w:rPr>
        <w:t>(</w:t>
      </w:r>
      <w:r w:rsidRPr="00391D31">
        <w:rPr>
          <w:rFonts w:cs="Arial"/>
          <w:lang w:val="en-AU"/>
        </w:rPr>
        <w:t>from $1.256bn to 1.473</w:t>
      </w:r>
      <w:r w:rsidR="009C2A7F" w:rsidRPr="00391D31">
        <w:rPr>
          <w:rFonts w:cs="Arial"/>
          <w:lang w:val="en-AU"/>
        </w:rPr>
        <w:t xml:space="preserve">bn), </w:t>
      </w:r>
      <w:r w:rsidR="0057309C" w:rsidRPr="00391D31">
        <w:rPr>
          <w:rFonts w:cs="Arial"/>
          <w:lang w:val="en-AU"/>
        </w:rPr>
        <w:t>despite</w:t>
      </w:r>
      <w:r w:rsidR="009C2A7F" w:rsidRPr="00391D31">
        <w:rPr>
          <w:rFonts w:cs="Arial"/>
          <w:lang w:val="en-AU"/>
        </w:rPr>
        <w:t xml:space="preserve"> </w:t>
      </w:r>
      <w:r w:rsidRPr="00391D31">
        <w:rPr>
          <w:rFonts w:cs="Arial"/>
          <w:lang w:val="en-AU"/>
        </w:rPr>
        <w:t xml:space="preserve">the Commonwealth’s NPUA contribution </w:t>
      </w:r>
      <w:r w:rsidR="0057309C" w:rsidRPr="00391D31">
        <w:rPr>
          <w:rFonts w:cs="Arial"/>
          <w:lang w:val="en-AU"/>
        </w:rPr>
        <w:t xml:space="preserve">falling </w:t>
      </w:r>
      <w:r w:rsidR="00706560" w:rsidRPr="00391D31">
        <w:rPr>
          <w:rFonts w:cs="Arial"/>
          <w:lang w:val="en-AU"/>
        </w:rPr>
        <w:t>from $492m to $426</w:t>
      </w:r>
      <w:r w:rsidRPr="00391D31">
        <w:rPr>
          <w:rFonts w:cs="Arial"/>
          <w:lang w:val="en-AU"/>
        </w:rPr>
        <w:t>m</w:t>
      </w:r>
      <w:r w:rsidR="009C26F6" w:rsidRPr="00391D31">
        <w:rPr>
          <w:rFonts w:cs="Arial"/>
          <w:lang w:val="en-AU"/>
        </w:rPr>
        <w:t xml:space="preserve">. </w:t>
      </w:r>
      <w:r w:rsidRPr="00391D31">
        <w:rPr>
          <w:rFonts w:cs="Arial"/>
          <w:lang w:val="en-AU"/>
        </w:rPr>
        <w:t xml:space="preserve">This would seem to indicate that the Commonwealth’s level of ‘effort’ in this area has been </w:t>
      </w:r>
      <w:r w:rsidR="00F975C2" w:rsidRPr="00391D31">
        <w:rPr>
          <w:rFonts w:cs="Arial"/>
          <w:lang w:val="en-AU"/>
        </w:rPr>
        <w:t>diminishing while state and territory investment has remained relatively strong.</w:t>
      </w:r>
      <w:r w:rsidR="00F975C2" w:rsidRPr="00391D31">
        <w:rPr>
          <w:rStyle w:val="FootnoteReference"/>
          <w:rFonts w:cs="Arial"/>
          <w:lang w:val="en-AU"/>
        </w:rPr>
        <w:footnoteReference w:id="1"/>
      </w:r>
      <w:r w:rsidR="00706560" w:rsidRPr="00391D31">
        <w:rPr>
          <w:rFonts w:cs="Arial"/>
          <w:lang w:val="en-AU"/>
        </w:rPr>
        <w:t xml:space="preserve"> This suggests that the Commonwealth is at some risk of ‘dealing itself out of the game’ of future policy reform and national systemic improvement in early childhood education.</w:t>
      </w:r>
    </w:p>
    <w:p w14:paraId="6A7B6355" w14:textId="77777777" w:rsidR="0022232F" w:rsidRPr="00391D31" w:rsidRDefault="0022232F" w:rsidP="005628E3">
      <w:pPr>
        <w:rPr>
          <w:rFonts w:cs="Arial"/>
          <w:lang w:val="en-AU"/>
        </w:rPr>
      </w:pPr>
    </w:p>
    <w:p w14:paraId="1A9EB2E3" w14:textId="77777777" w:rsidR="000901F8" w:rsidRPr="00391D31" w:rsidRDefault="000901F8" w:rsidP="005628E3">
      <w:pPr>
        <w:rPr>
          <w:rFonts w:cs="Arial"/>
          <w:lang w:val="en-AU"/>
        </w:rPr>
      </w:pPr>
      <w:r w:rsidRPr="00391D31">
        <w:rPr>
          <w:rFonts w:cs="Arial"/>
          <w:lang w:val="en-AU"/>
        </w:rPr>
        <w:t xml:space="preserve">In bringing together the national picture of preschool across Australia, this review will be able to </w:t>
      </w:r>
      <w:r w:rsidR="00D91F14" w:rsidRPr="00391D31">
        <w:rPr>
          <w:rFonts w:cs="Arial"/>
          <w:lang w:val="en-AU"/>
        </w:rPr>
        <w:t>consider</w:t>
      </w:r>
      <w:r w:rsidRPr="00391D31">
        <w:rPr>
          <w:rFonts w:cs="Arial"/>
          <w:lang w:val="en-AU"/>
        </w:rPr>
        <w:t xml:space="preserve"> the impact created by the lack of funding security </w:t>
      </w:r>
      <w:r w:rsidR="00D91F14" w:rsidRPr="00391D31">
        <w:rPr>
          <w:rFonts w:cs="Arial"/>
          <w:lang w:val="en-AU"/>
        </w:rPr>
        <w:t>in recent</w:t>
      </w:r>
      <w:r w:rsidRPr="00391D31">
        <w:rPr>
          <w:rFonts w:cs="Arial"/>
          <w:lang w:val="en-AU"/>
        </w:rPr>
        <w:t xml:space="preserve"> years</w:t>
      </w:r>
      <w:r w:rsidR="00D91F14" w:rsidRPr="00391D31">
        <w:rPr>
          <w:rFonts w:cs="Arial"/>
          <w:lang w:val="en-AU"/>
        </w:rPr>
        <w:t>.</w:t>
      </w:r>
      <w:r w:rsidRPr="00391D31">
        <w:rPr>
          <w:rFonts w:cs="Arial"/>
          <w:lang w:val="en-AU"/>
        </w:rPr>
        <w:t xml:space="preserve"> </w:t>
      </w:r>
      <w:r w:rsidR="00D91F14" w:rsidRPr="00391D31">
        <w:rPr>
          <w:rFonts w:cs="Arial"/>
          <w:lang w:val="en-AU"/>
        </w:rPr>
        <w:t>It is likely to have impeded</w:t>
      </w:r>
      <w:r w:rsidRPr="00391D31">
        <w:rPr>
          <w:rFonts w:cs="Arial"/>
          <w:lang w:val="en-AU"/>
        </w:rPr>
        <w:t xml:space="preserve"> permanent recruitment of qualified staff and</w:t>
      </w:r>
      <w:r w:rsidR="00D91F14" w:rsidRPr="00391D31">
        <w:rPr>
          <w:rFonts w:cs="Arial"/>
          <w:lang w:val="en-AU"/>
        </w:rPr>
        <w:t xml:space="preserve"> undermined</w:t>
      </w:r>
      <w:r w:rsidRPr="00391D31">
        <w:rPr>
          <w:rFonts w:cs="Arial"/>
          <w:lang w:val="en-AU"/>
        </w:rPr>
        <w:t xml:space="preserve"> strategies to increase participation by vulnerable and disadvantaged children</w:t>
      </w:r>
      <w:r w:rsidR="00D91F14" w:rsidRPr="00391D31">
        <w:rPr>
          <w:rFonts w:cs="Arial"/>
          <w:lang w:val="en-AU"/>
        </w:rPr>
        <w:t>, both of which have long lead times and require ongoing financial commitment at the service and system levels</w:t>
      </w:r>
      <w:r w:rsidRPr="00391D31">
        <w:rPr>
          <w:rFonts w:cs="Arial"/>
          <w:lang w:val="en-AU"/>
        </w:rPr>
        <w:t xml:space="preserve">. </w:t>
      </w:r>
      <w:r w:rsidR="004E2395" w:rsidRPr="00391D31">
        <w:rPr>
          <w:rFonts w:cs="Arial"/>
          <w:lang w:val="en-AU"/>
        </w:rPr>
        <w:t xml:space="preserve">This should </w:t>
      </w:r>
      <w:r w:rsidR="00D91F14" w:rsidRPr="00391D31">
        <w:rPr>
          <w:rFonts w:cs="Arial"/>
          <w:lang w:val="en-AU"/>
        </w:rPr>
        <w:t xml:space="preserve">also </w:t>
      </w:r>
      <w:r w:rsidR="004E2395" w:rsidRPr="00391D31">
        <w:rPr>
          <w:rFonts w:cs="Arial"/>
          <w:lang w:val="en-AU"/>
        </w:rPr>
        <w:t xml:space="preserve">assist in understanding whether the drop in </w:t>
      </w:r>
      <w:r w:rsidR="00FB272C" w:rsidRPr="00391D31">
        <w:rPr>
          <w:rFonts w:cs="Arial"/>
          <w:color w:val="000000" w:themeColor="text1"/>
          <w:lang w:val="en-AU"/>
        </w:rPr>
        <w:t xml:space="preserve">preschool </w:t>
      </w:r>
      <w:r w:rsidR="00D91F14" w:rsidRPr="00391D31">
        <w:rPr>
          <w:rFonts w:cs="Arial"/>
          <w:lang w:val="en-AU"/>
        </w:rPr>
        <w:t xml:space="preserve">enrolment </w:t>
      </w:r>
      <w:r w:rsidR="004E2395" w:rsidRPr="00391D31">
        <w:rPr>
          <w:rFonts w:cs="Arial"/>
          <w:lang w:val="en-AU"/>
        </w:rPr>
        <w:t xml:space="preserve">from a high of 95% in 2015 to 90.1% in 2017 (ROGS </w:t>
      </w:r>
      <w:r w:rsidR="0057309C" w:rsidRPr="00391D31">
        <w:rPr>
          <w:rFonts w:cs="Arial"/>
          <w:lang w:val="en-AU"/>
        </w:rPr>
        <w:t>2016 and 2019</w:t>
      </w:r>
      <w:r w:rsidR="004E2395" w:rsidRPr="00391D31">
        <w:rPr>
          <w:rFonts w:cs="Arial"/>
          <w:lang w:val="en-AU"/>
        </w:rPr>
        <w:t>) is related to this funding uncertainty, or is related to particular jurisdictional issues.</w:t>
      </w:r>
    </w:p>
    <w:p w14:paraId="55415D5E" w14:textId="77777777" w:rsidR="0057309C" w:rsidRPr="00391D31" w:rsidRDefault="0057309C" w:rsidP="005628E3">
      <w:pPr>
        <w:rPr>
          <w:rFonts w:cs="Arial"/>
          <w:lang w:val="en-AU"/>
        </w:rPr>
      </w:pPr>
    </w:p>
    <w:p w14:paraId="47A7D41D" w14:textId="77777777" w:rsidR="0057309C" w:rsidRPr="00391D31" w:rsidRDefault="0057309C" w:rsidP="005628E3">
      <w:pPr>
        <w:rPr>
          <w:rFonts w:cs="Arial"/>
          <w:color w:val="FF0000"/>
          <w:lang w:val="en-AU"/>
        </w:rPr>
      </w:pPr>
      <w:r w:rsidRPr="00391D31">
        <w:rPr>
          <w:rFonts w:cs="Arial"/>
          <w:lang w:val="en-AU"/>
        </w:rPr>
        <w:t xml:space="preserve">The point here is not only – or even principally – about how much the Commonwealth spends compared to the States and Territories </w:t>
      </w:r>
      <w:r w:rsidRPr="00391D31">
        <w:rPr>
          <w:rFonts w:cs="Arial"/>
          <w:i/>
          <w:lang w:val="en-AU"/>
        </w:rPr>
        <w:t>per se</w:t>
      </w:r>
      <w:r w:rsidRPr="00391D31">
        <w:rPr>
          <w:rFonts w:cs="Arial"/>
          <w:lang w:val="en-AU"/>
        </w:rPr>
        <w:t>. The point is that the Commonwealth’s national role as a powerful advocate for ensuring quality preschool is made available to all Australia children is strengthened by its financial leverage. The Commonwealth also has a critical role in promoting to the broader community – especially parents as their children’s first teachers – the important contribution made to the national social and economic wellbeing through a strong and effective preschool system.</w:t>
      </w:r>
    </w:p>
    <w:p w14:paraId="0C8124C5" w14:textId="77777777" w:rsidR="009B5FE2" w:rsidRPr="00391D31" w:rsidRDefault="009B5FE2" w:rsidP="005B79F0">
      <w:pPr>
        <w:rPr>
          <w:rFonts w:cs="Arial"/>
          <w:lang w:val="en-AU"/>
        </w:rPr>
      </w:pPr>
    </w:p>
    <w:p w14:paraId="516C50F0" w14:textId="77777777" w:rsidR="005628E3" w:rsidRPr="00E258F7" w:rsidRDefault="0057309C" w:rsidP="00E258F7">
      <w:pPr>
        <w:pStyle w:val="ListParagraph"/>
        <w:numPr>
          <w:ilvl w:val="0"/>
          <w:numId w:val="15"/>
        </w:numPr>
        <w:ind w:left="851"/>
        <w:rPr>
          <w:rFonts w:cs="Arial"/>
          <w:b/>
          <w:sz w:val="28"/>
          <w:lang w:val="en-AU"/>
        </w:rPr>
      </w:pPr>
      <w:r w:rsidRPr="00E258F7">
        <w:rPr>
          <w:rFonts w:cs="Arial"/>
          <w:b/>
          <w:sz w:val="28"/>
          <w:lang w:val="en-AU"/>
        </w:rPr>
        <w:t>F</w:t>
      </w:r>
      <w:r w:rsidR="005628E3" w:rsidRPr="00E258F7">
        <w:rPr>
          <w:rFonts w:cs="Arial"/>
          <w:b/>
          <w:sz w:val="28"/>
          <w:lang w:val="en-AU"/>
        </w:rPr>
        <w:t>ocus on preschool for vulnerable and disadvantaged children</w:t>
      </w:r>
    </w:p>
    <w:p w14:paraId="4369E9F1" w14:textId="77777777" w:rsidR="009B5FE2" w:rsidRPr="00391D31" w:rsidRDefault="009B5FE2" w:rsidP="005628E3">
      <w:pPr>
        <w:rPr>
          <w:rFonts w:cs="Arial"/>
          <w:lang w:val="en-AU"/>
        </w:rPr>
      </w:pPr>
    </w:p>
    <w:p w14:paraId="5140ABD3" w14:textId="77777777" w:rsidR="009B5FE2" w:rsidRPr="00391D31" w:rsidRDefault="007D3D44" w:rsidP="005628E3">
      <w:pPr>
        <w:rPr>
          <w:rFonts w:cs="Arial"/>
          <w:color w:val="FF0000"/>
          <w:lang w:val="en-AU"/>
        </w:rPr>
      </w:pPr>
      <w:r w:rsidRPr="00391D31">
        <w:rPr>
          <w:rFonts w:cs="Arial"/>
          <w:lang w:val="en-AU"/>
        </w:rPr>
        <w:t xml:space="preserve">According to ROGS </w:t>
      </w:r>
      <w:r w:rsidR="0057309C" w:rsidRPr="00391D31">
        <w:rPr>
          <w:rFonts w:cs="Arial"/>
          <w:lang w:val="en-AU"/>
        </w:rPr>
        <w:t>(2019</w:t>
      </w:r>
      <w:r w:rsidR="00E80ADE" w:rsidRPr="00391D31">
        <w:rPr>
          <w:rFonts w:cs="Arial"/>
          <w:lang w:val="en-AU"/>
        </w:rPr>
        <w:t>, Table 3A.13</w:t>
      </w:r>
      <w:r w:rsidR="0057309C" w:rsidRPr="00391D31">
        <w:rPr>
          <w:rFonts w:cs="Arial"/>
          <w:lang w:val="en-AU"/>
        </w:rPr>
        <w:t>)</w:t>
      </w:r>
      <w:r w:rsidRPr="00391D31">
        <w:rPr>
          <w:rFonts w:cs="Arial"/>
          <w:lang w:val="en-AU"/>
        </w:rPr>
        <w:t>, the two groups of children in the year before fulltime schooling who continue to be significantly underrepresented in preschool enrolments are those who are disadvantaged (representing 17.3% of children in preschool, compared to 19.0% of all children)</w:t>
      </w:r>
      <w:r w:rsidR="009B5FE2" w:rsidRPr="00391D31">
        <w:rPr>
          <w:rFonts w:cs="Arial"/>
          <w:lang w:val="en-AU"/>
        </w:rPr>
        <w:t xml:space="preserve"> </w:t>
      </w:r>
      <w:r w:rsidRPr="00391D31">
        <w:rPr>
          <w:rFonts w:cs="Arial"/>
          <w:lang w:val="en-AU"/>
        </w:rPr>
        <w:t>and especially children from non-English speaking backgrounds (14.9% compared to 20.4%) and to a lesser degree children with disability (6.3% compared to 7.5%)</w:t>
      </w:r>
      <w:r w:rsidR="0057309C" w:rsidRPr="00391D31">
        <w:rPr>
          <w:rFonts w:cs="Arial"/>
          <w:lang w:val="en-AU"/>
        </w:rPr>
        <w:t>.</w:t>
      </w:r>
      <w:r w:rsidR="005B4467" w:rsidRPr="00391D31">
        <w:rPr>
          <w:rFonts w:cs="Arial"/>
          <w:lang w:val="en-AU"/>
        </w:rPr>
        <w:t xml:space="preserve"> </w:t>
      </w:r>
      <w:r w:rsidR="00FC28BC" w:rsidRPr="00391D31">
        <w:rPr>
          <w:rFonts w:cs="Arial"/>
          <w:color w:val="000000" w:themeColor="text1"/>
          <w:lang w:val="en-AU"/>
        </w:rPr>
        <w:t>Participation in preschool or childcare services based on family income has been declining for low income families over the past five years, with only 22.4 percent of young children from such families using such services in 2017 (cited in J</w:t>
      </w:r>
      <w:r w:rsidR="00F26991" w:rsidRPr="00391D31">
        <w:rPr>
          <w:rFonts w:cs="Arial"/>
          <w:color w:val="000000" w:themeColor="text1"/>
          <w:lang w:val="en-AU"/>
        </w:rPr>
        <w:t>ackso</w:t>
      </w:r>
      <w:r w:rsidR="00FC28BC" w:rsidRPr="00391D31">
        <w:rPr>
          <w:rFonts w:cs="Arial"/>
          <w:color w:val="000000" w:themeColor="text1"/>
          <w:lang w:val="en-AU"/>
        </w:rPr>
        <w:t xml:space="preserve">n 2019). </w:t>
      </w:r>
    </w:p>
    <w:p w14:paraId="390C9F5C" w14:textId="77777777" w:rsidR="009B5FE2" w:rsidRPr="00391D31" w:rsidRDefault="009B5FE2" w:rsidP="005628E3">
      <w:pPr>
        <w:rPr>
          <w:rFonts w:cs="Arial"/>
          <w:lang w:val="en-AU"/>
        </w:rPr>
      </w:pPr>
    </w:p>
    <w:p w14:paraId="344A60DE" w14:textId="77777777" w:rsidR="004A475F" w:rsidRPr="00391D31" w:rsidRDefault="007D3D44" w:rsidP="005628E3">
      <w:pPr>
        <w:rPr>
          <w:rFonts w:cs="Arial"/>
          <w:color w:val="FF0000"/>
          <w:lang w:val="en-AU"/>
        </w:rPr>
      </w:pPr>
      <w:r w:rsidRPr="00391D31">
        <w:rPr>
          <w:rFonts w:cs="Arial"/>
          <w:lang w:val="en-AU"/>
        </w:rPr>
        <w:t xml:space="preserve">While other </w:t>
      </w:r>
      <w:r w:rsidR="00F14050" w:rsidRPr="00391D31">
        <w:rPr>
          <w:rFonts w:cs="Arial"/>
          <w:lang w:val="en-AU"/>
        </w:rPr>
        <w:t xml:space="preserve">special groups (ie Aboriginal and Torres Strait Islander children and children from regional or remote areas) have reasonable relative rates of enrolment, attention needs to be given to the </w:t>
      </w:r>
      <w:r w:rsidR="00F14050" w:rsidRPr="00391D31">
        <w:rPr>
          <w:rFonts w:cs="Arial"/>
          <w:b/>
          <w:lang w:val="en-AU"/>
        </w:rPr>
        <w:t>quality</w:t>
      </w:r>
      <w:r w:rsidR="00F14050" w:rsidRPr="00391D31">
        <w:rPr>
          <w:rFonts w:cs="Arial"/>
          <w:lang w:val="en-AU"/>
        </w:rPr>
        <w:t xml:space="preserve"> of preschool programs for all</w:t>
      </w:r>
      <w:r w:rsidR="00F14050" w:rsidRPr="00391D31">
        <w:rPr>
          <w:rFonts w:cs="Arial"/>
          <w:b/>
          <w:lang w:val="en-AU"/>
        </w:rPr>
        <w:t xml:space="preserve"> </w:t>
      </w:r>
      <w:r w:rsidR="00F14050" w:rsidRPr="00391D31">
        <w:rPr>
          <w:rFonts w:cs="Arial"/>
          <w:lang w:val="en-AU"/>
        </w:rPr>
        <w:t xml:space="preserve">of these groups, as well as </w:t>
      </w:r>
      <w:r w:rsidR="00F14050" w:rsidRPr="00391D31">
        <w:rPr>
          <w:rFonts w:cs="Arial"/>
          <w:b/>
          <w:lang w:val="en-AU"/>
        </w:rPr>
        <w:t xml:space="preserve">access </w:t>
      </w:r>
      <w:r w:rsidR="00F14050" w:rsidRPr="00391D31">
        <w:rPr>
          <w:rFonts w:cs="Arial"/>
          <w:lang w:val="en-AU"/>
        </w:rPr>
        <w:t xml:space="preserve">for those who are not enrolling and attending at rates commensurate with their population numbers. This is important because, while participation in a quality preschool program can </w:t>
      </w:r>
      <w:r w:rsidR="00294AD6" w:rsidRPr="00391D31">
        <w:rPr>
          <w:rFonts w:cs="Arial"/>
          <w:lang w:val="en-AU"/>
        </w:rPr>
        <w:t>benefit</w:t>
      </w:r>
      <w:r w:rsidR="00F14050" w:rsidRPr="00391D31">
        <w:rPr>
          <w:rFonts w:cs="Arial"/>
          <w:lang w:val="en-AU"/>
        </w:rPr>
        <w:t xml:space="preserve"> all children, it has shown to have the most positive effects</w:t>
      </w:r>
      <w:r w:rsidR="00F83904" w:rsidRPr="00391D31">
        <w:rPr>
          <w:rFonts w:cs="Arial"/>
          <w:lang w:val="en-AU"/>
        </w:rPr>
        <w:t xml:space="preserve"> on</w:t>
      </w:r>
      <w:r w:rsidR="00F14050" w:rsidRPr="00391D31">
        <w:rPr>
          <w:rFonts w:cs="Arial"/>
          <w:lang w:val="en-AU"/>
        </w:rPr>
        <w:t xml:space="preserve"> </w:t>
      </w:r>
      <w:r w:rsidR="00F83904" w:rsidRPr="00391D31">
        <w:rPr>
          <w:rFonts w:cs="Arial"/>
          <w:lang w:val="en-AU"/>
        </w:rPr>
        <w:t xml:space="preserve">disadvantaged </w:t>
      </w:r>
      <w:r w:rsidR="00F14050" w:rsidRPr="00391D31">
        <w:rPr>
          <w:rFonts w:cs="Arial"/>
          <w:lang w:val="en-AU"/>
        </w:rPr>
        <w:t xml:space="preserve">children </w:t>
      </w:r>
      <w:r w:rsidR="00F83904" w:rsidRPr="00391D31">
        <w:rPr>
          <w:rFonts w:cs="Arial"/>
          <w:lang w:val="en-AU"/>
        </w:rPr>
        <w:t>(</w:t>
      </w:r>
      <w:r w:rsidR="008607EE" w:rsidRPr="00391D31">
        <w:rPr>
          <w:rFonts w:cs="Arial"/>
          <w:lang w:val="en-AU"/>
        </w:rPr>
        <w:t>eg Melhuish 2011)</w:t>
      </w:r>
      <w:r w:rsidR="000A74DE" w:rsidRPr="00391D31">
        <w:rPr>
          <w:rFonts w:cs="Arial"/>
          <w:lang w:val="en-AU"/>
        </w:rPr>
        <w:t>.</w:t>
      </w:r>
      <w:r w:rsidR="008607EE" w:rsidRPr="00391D31">
        <w:rPr>
          <w:rFonts w:cs="Arial"/>
          <w:lang w:val="en-AU"/>
        </w:rPr>
        <w:t xml:space="preserve"> </w:t>
      </w:r>
    </w:p>
    <w:p w14:paraId="2472F353" w14:textId="77777777" w:rsidR="00F14050" w:rsidRPr="00391D31" w:rsidRDefault="00F14050" w:rsidP="005628E3">
      <w:pPr>
        <w:rPr>
          <w:rFonts w:cs="Arial"/>
          <w:lang w:val="en-AU"/>
        </w:rPr>
      </w:pPr>
    </w:p>
    <w:p w14:paraId="68ED8659" w14:textId="4982CFCF" w:rsidR="00F14050" w:rsidRPr="00391D31" w:rsidRDefault="00F14050" w:rsidP="005628E3">
      <w:pPr>
        <w:rPr>
          <w:rFonts w:cs="Arial"/>
          <w:lang w:val="en-AU"/>
        </w:rPr>
      </w:pPr>
      <w:r w:rsidRPr="00391D31">
        <w:rPr>
          <w:rFonts w:cs="Arial"/>
          <w:lang w:val="en-AU"/>
        </w:rPr>
        <w:t xml:space="preserve">There is also strong evidence that a longer period in preschool can be advantageous for especially disadvantaged children and Aboriginal and Torres Strait Islander children </w:t>
      </w:r>
      <w:r w:rsidR="008E20D2" w:rsidRPr="00391D31">
        <w:rPr>
          <w:rFonts w:cs="Arial"/>
          <w:lang w:val="en-AU"/>
        </w:rPr>
        <w:t>(</w:t>
      </w:r>
      <w:r w:rsidR="00F7519A" w:rsidRPr="00391D31">
        <w:rPr>
          <w:rFonts w:cs="Arial"/>
          <w:lang w:val="en-AU"/>
        </w:rPr>
        <w:t>Hewitt and Walter 2014)</w:t>
      </w:r>
      <w:r w:rsidRPr="00391D31">
        <w:rPr>
          <w:rFonts w:cs="Arial"/>
          <w:lang w:val="en-AU"/>
        </w:rPr>
        <w:t>.</w:t>
      </w:r>
      <w:r w:rsidR="00E971E8" w:rsidRPr="00391D31">
        <w:rPr>
          <w:rFonts w:cs="Arial"/>
          <w:lang w:val="en-AU"/>
        </w:rPr>
        <w:t xml:space="preserve"> Proposals to strongly encourage two years of preschool participation, especially for these groups, have been voiced in Australia for some time now. </w:t>
      </w:r>
      <w:r w:rsidR="005D634B" w:rsidRPr="00391D31">
        <w:rPr>
          <w:rFonts w:cs="Arial"/>
          <w:lang w:val="en-AU"/>
        </w:rPr>
        <w:t>T</w:t>
      </w:r>
      <w:r w:rsidR="00791795" w:rsidRPr="00391D31">
        <w:rPr>
          <w:rFonts w:cs="Arial"/>
          <w:lang w:val="en-AU"/>
        </w:rPr>
        <w:t>he most recent ROGS data showing that</w:t>
      </w:r>
      <w:r w:rsidR="00E971E8" w:rsidRPr="00391D31">
        <w:rPr>
          <w:rFonts w:cs="Arial"/>
          <w:lang w:val="en-AU"/>
        </w:rPr>
        <w:t xml:space="preserve"> </w:t>
      </w:r>
      <w:r w:rsidR="00FF6FF4" w:rsidRPr="00391D31">
        <w:rPr>
          <w:rFonts w:cs="Arial"/>
          <w:lang w:val="en-AU"/>
        </w:rPr>
        <w:t xml:space="preserve">around 58.5% of 3 year </w:t>
      </w:r>
      <w:r w:rsidR="00CE29F0">
        <w:rPr>
          <w:rFonts w:cs="Arial"/>
          <w:lang w:val="en-AU"/>
        </w:rPr>
        <w:t xml:space="preserve">olds were enrolled </w:t>
      </w:r>
      <w:r w:rsidR="00FF6FF4" w:rsidRPr="00391D31">
        <w:rPr>
          <w:rFonts w:cs="Arial"/>
          <w:lang w:val="en-AU"/>
        </w:rPr>
        <w:t>in preschool in 2017</w:t>
      </w:r>
      <w:r w:rsidR="005D634B" w:rsidRPr="00391D31">
        <w:rPr>
          <w:rFonts w:cs="Arial"/>
          <w:lang w:val="en-AU"/>
        </w:rPr>
        <w:t>,</w:t>
      </w:r>
      <w:r w:rsidR="004E6DB3" w:rsidRPr="00391D31">
        <w:rPr>
          <w:rStyle w:val="FootnoteReference"/>
          <w:rFonts w:cs="Arial"/>
          <w:lang w:val="en-AU"/>
        </w:rPr>
        <w:footnoteReference w:id="2"/>
      </w:r>
      <w:r w:rsidR="005D634B" w:rsidRPr="00391D31">
        <w:rPr>
          <w:rFonts w:cs="Arial"/>
          <w:lang w:val="en-AU"/>
        </w:rPr>
        <w:t xml:space="preserve"> compared to the overall trend for this age group seems to </w:t>
      </w:r>
      <w:r w:rsidR="00E25168" w:rsidRPr="00391D31">
        <w:rPr>
          <w:rFonts w:cs="Arial"/>
          <w:lang w:val="en-AU"/>
        </w:rPr>
        <w:t>be positive.</w:t>
      </w:r>
      <w:r w:rsidR="00791795" w:rsidRPr="00391D31">
        <w:rPr>
          <w:rFonts w:cs="Arial"/>
          <w:lang w:val="en-AU"/>
        </w:rPr>
        <w:t xml:space="preserve"> A number of </w:t>
      </w:r>
      <w:r w:rsidR="00244626" w:rsidRPr="00391D31">
        <w:rPr>
          <w:rFonts w:cs="Arial"/>
          <w:lang w:val="en-AU"/>
        </w:rPr>
        <w:t xml:space="preserve">State </w:t>
      </w:r>
      <w:r w:rsidR="00791795" w:rsidRPr="00391D31">
        <w:rPr>
          <w:rFonts w:cs="Arial"/>
          <w:lang w:val="en-AU"/>
        </w:rPr>
        <w:t xml:space="preserve">and </w:t>
      </w:r>
      <w:r w:rsidR="00244626" w:rsidRPr="00391D31">
        <w:rPr>
          <w:rFonts w:cs="Arial"/>
          <w:lang w:val="en-AU"/>
        </w:rPr>
        <w:t xml:space="preserve">Territory </w:t>
      </w:r>
      <w:r w:rsidR="00B77A0F" w:rsidRPr="00391D31">
        <w:rPr>
          <w:rFonts w:cs="Arial"/>
          <w:lang w:val="en-AU"/>
        </w:rPr>
        <w:t xml:space="preserve">governments have taken initiatives in regard to preschool for this younger age group: Victoria is now providing subsidised preschools to 3 year olds in all ECEC settings; NSW is funding places in community preschools </w:t>
      </w:r>
      <w:r w:rsidR="00755036" w:rsidRPr="00391D31">
        <w:rPr>
          <w:rFonts w:cs="Arial"/>
          <w:lang w:val="en-AU"/>
        </w:rPr>
        <w:t>(</w:t>
      </w:r>
      <w:r w:rsidR="00B77A0F" w:rsidRPr="00391D31">
        <w:rPr>
          <w:rFonts w:cs="Arial"/>
          <w:lang w:val="en-AU"/>
        </w:rPr>
        <w:t xml:space="preserve">Jackson 2019). </w:t>
      </w:r>
      <w:r w:rsidR="00E25168" w:rsidRPr="00391D31">
        <w:rPr>
          <w:rFonts w:cs="Arial"/>
          <w:lang w:val="en-AU"/>
        </w:rPr>
        <w:t>Further analysis, h</w:t>
      </w:r>
      <w:r w:rsidR="005D634B" w:rsidRPr="00391D31">
        <w:rPr>
          <w:rFonts w:cs="Arial"/>
          <w:lang w:val="en-AU"/>
        </w:rPr>
        <w:t>owever, is needed to determine whether this welcome growth</w:t>
      </w:r>
      <w:r w:rsidR="00E25168" w:rsidRPr="00391D31">
        <w:rPr>
          <w:rFonts w:cs="Arial"/>
          <w:lang w:val="en-AU"/>
        </w:rPr>
        <w:t xml:space="preserve"> will continue and whether it is being reflected in those high need groups that will benefit most.</w:t>
      </w:r>
    </w:p>
    <w:p w14:paraId="7B48044E" w14:textId="77777777" w:rsidR="007D3D44" w:rsidRPr="00391D31" w:rsidRDefault="007D3D44" w:rsidP="005628E3">
      <w:pPr>
        <w:rPr>
          <w:rFonts w:cs="Arial"/>
          <w:lang w:val="en-AU"/>
        </w:rPr>
      </w:pPr>
    </w:p>
    <w:p w14:paraId="14DA2DD5" w14:textId="3B6B9B1A" w:rsidR="00D57549" w:rsidRPr="00391D31" w:rsidRDefault="00D57549" w:rsidP="00331446">
      <w:pPr>
        <w:rPr>
          <w:rFonts w:cs="Arial"/>
          <w:color w:val="FF0000"/>
          <w:lang w:val="en-AU"/>
        </w:rPr>
      </w:pPr>
      <w:r w:rsidRPr="00391D31">
        <w:rPr>
          <w:rFonts w:cs="Arial"/>
          <w:color w:val="000000" w:themeColor="text1"/>
          <w:lang w:val="en-AU"/>
        </w:rPr>
        <w:t xml:space="preserve">Lifting participation of the most disadvantaged and vulnerable is more than about providing and funding preschool places.  It is about </w:t>
      </w:r>
      <w:r w:rsidR="003813AA" w:rsidRPr="00391D31">
        <w:rPr>
          <w:rFonts w:cs="Arial"/>
          <w:color w:val="000000" w:themeColor="text1"/>
          <w:lang w:val="en-AU"/>
        </w:rPr>
        <w:t xml:space="preserve">interventions at the community level to reach out to families and parents to encourage them to participate and to make it easy to do so. This usually requires place based strategies, with resources for liaison </w:t>
      </w:r>
      <w:r w:rsidR="00BB0AB1" w:rsidRPr="00391D31">
        <w:rPr>
          <w:rFonts w:cs="Arial"/>
          <w:color w:val="000000" w:themeColor="text1"/>
          <w:lang w:val="en-AU"/>
        </w:rPr>
        <w:t xml:space="preserve">staff </w:t>
      </w:r>
      <w:r w:rsidR="00CE29F0">
        <w:rPr>
          <w:rFonts w:cs="Arial"/>
          <w:color w:val="000000" w:themeColor="text1"/>
          <w:lang w:val="en-AU"/>
        </w:rPr>
        <w:t>and outreach activities</w:t>
      </w:r>
      <w:r w:rsidR="003813AA" w:rsidRPr="00391D31">
        <w:rPr>
          <w:rFonts w:cs="Arial"/>
          <w:color w:val="000000" w:themeColor="text1"/>
          <w:lang w:val="en-AU"/>
        </w:rPr>
        <w:t xml:space="preserve"> (</w:t>
      </w:r>
      <w:r w:rsidR="00BB0AB1" w:rsidRPr="00391D31">
        <w:rPr>
          <w:rFonts w:cs="Arial"/>
          <w:color w:val="000000" w:themeColor="text1"/>
          <w:lang w:val="en-AU"/>
        </w:rPr>
        <w:t>for example, Williams et al 2018</w:t>
      </w:r>
      <w:r w:rsidR="003813AA" w:rsidRPr="00391D31">
        <w:rPr>
          <w:rFonts w:cs="Arial"/>
          <w:color w:val="000000" w:themeColor="text1"/>
          <w:lang w:val="en-AU"/>
        </w:rPr>
        <w:t>)</w:t>
      </w:r>
      <w:r w:rsidR="00B728E7" w:rsidRPr="00391D31">
        <w:rPr>
          <w:rFonts w:cs="Arial"/>
          <w:color w:val="000000" w:themeColor="text1"/>
          <w:lang w:val="en-AU"/>
        </w:rPr>
        <w:t>.</w:t>
      </w:r>
      <w:r w:rsidR="00244626" w:rsidRPr="00391D31">
        <w:rPr>
          <w:rFonts w:cs="Arial"/>
          <w:color w:val="000000" w:themeColor="text1"/>
          <w:lang w:val="en-AU"/>
        </w:rPr>
        <w:t xml:space="preserve"> Such place-based initiative can increasingly be well-targeted, due to highly informative data on early childhood development through the Australian Early Development Census (AEDC), which can identify communities where children are most vulnerable to developmental risk.</w:t>
      </w:r>
    </w:p>
    <w:p w14:paraId="111D03D9" w14:textId="77777777" w:rsidR="00A037DC" w:rsidRPr="00391D31" w:rsidRDefault="00A037DC" w:rsidP="00802E84">
      <w:pPr>
        <w:pStyle w:val="ListParagraph"/>
        <w:rPr>
          <w:rFonts w:cs="Arial"/>
          <w:color w:val="000000" w:themeColor="text1"/>
          <w:lang w:val="en-AU"/>
        </w:rPr>
      </w:pPr>
    </w:p>
    <w:p w14:paraId="2129498A" w14:textId="77777777" w:rsidR="004A475F" w:rsidRPr="00E258F7" w:rsidRDefault="005628E3" w:rsidP="00E258F7">
      <w:pPr>
        <w:pStyle w:val="ListParagraph"/>
        <w:numPr>
          <w:ilvl w:val="0"/>
          <w:numId w:val="15"/>
        </w:numPr>
        <w:ind w:left="851"/>
        <w:rPr>
          <w:rFonts w:cs="Arial"/>
          <w:b/>
          <w:sz w:val="28"/>
          <w:lang w:val="en-AU"/>
        </w:rPr>
      </w:pPr>
      <w:r w:rsidRPr="00E258F7">
        <w:rPr>
          <w:rFonts w:cs="Arial"/>
          <w:b/>
          <w:sz w:val="28"/>
          <w:lang w:val="en-AU"/>
        </w:rPr>
        <w:t>Addressing quality concerns</w:t>
      </w:r>
      <w:r w:rsidR="00162F80" w:rsidRPr="00E258F7">
        <w:rPr>
          <w:rFonts w:cs="Arial"/>
          <w:b/>
          <w:sz w:val="28"/>
          <w:lang w:val="en-AU"/>
        </w:rPr>
        <w:t>, particularly</w:t>
      </w:r>
      <w:r w:rsidRPr="00E258F7">
        <w:rPr>
          <w:rFonts w:cs="Arial"/>
          <w:b/>
          <w:sz w:val="28"/>
          <w:lang w:val="en-AU"/>
        </w:rPr>
        <w:t xml:space="preserve"> </w:t>
      </w:r>
      <w:r w:rsidR="00244626" w:rsidRPr="00E258F7">
        <w:rPr>
          <w:rFonts w:cs="Arial"/>
          <w:b/>
          <w:sz w:val="28"/>
          <w:lang w:val="en-AU"/>
        </w:rPr>
        <w:t>for</w:t>
      </w:r>
      <w:r w:rsidRPr="00E258F7">
        <w:rPr>
          <w:rFonts w:cs="Arial"/>
          <w:b/>
          <w:sz w:val="28"/>
          <w:lang w:val="en-AU"/>
        </w:rPr>
        <w:t xml:space="preserve"> preschool in centre based day care</w:t>
      </w:r>
    </w:p>
    <w:p w14:paraId="47F70554" w14:textId="77777777" w:rsidR="00244626" w:rsidRPr="00391D31" w:rsidRDefault="00244626" w:rsidP="00331446">
      <w:pPr>
        <w:rPr>
          <w:rFonts w:cs="Arial"/>
          <w:lang w:val="en-AU"/>
        </w:rPr>
      </w:pPr>
    </w:p>
    <w:p w14:paraId="6A944B51" w14:textId="77777777" w:rsidR="005628E3" w:rsidRPr="00391D31" w:rsidRDefault="004864CC" w:rsidP="00331446">
      <w:pPr>
        <w:rPr>
          <w:rFonts w:cs="Arial"/>
          <w:color w:val="000000" w:themeColor="text1"/>
          <w:lang w:val="en-AU"/>
        </w:rPr>
      </w:pPr>
      <w:r w:rsidRPr="00391D31">
        <w:rPr>
          <w:rFonts w:cs="Arial"/>
          <w:lang w:val="en-AU"/>
        </w:rPr>
        <w:t>Over the life of the UANP, there appears to have been a shift not only in enrolments and hours but also venues for delivery of preschool. With the growth in women’s workforce participation</w:t>
      </w:r>
      <w:r w:rsidR="00594317" w:rsidRPr="00391D31">
        <w:rPr>
          <w:rFonts w:cs="Arial"/>
          <w:lang w:val="en-AU"/>
        </w:rPr>
        <w:t xml:space="preserve"> (which reached a high of over 60% in January 2019</w:t>
      </w:r>
      <w:r w:rsidR="00594317" w:rsidRPr="00391D31">
        <w:rPr>
          <w:rFonts w:cs="Arial"/>
          <w:color w:val="000000" w:themeColor="text1"/>
          <w:lang w:val="en-AU"/>
        </w:rPr>
        <w:t>)</w:t>
      </w:r>
      <w:r w:rsidR="00594317" w:rsidRPr="00391D31">
        <w:rPr>
          <w:rStyle w:val="FootnoteReference"/>
          <w:rFonts w:cs="Arial"/>
          <w:color w:val="000000" w:themeColor="text1"/>
          <w:lang w:val="en-AU"/>
        </w:rPr>
        <w:footnoteReference w:id="3"/>
      </w:r>
      <w:r w:rsidR="005B28F5" w:rsidRPr="00391D31">
        <w:rPr>
          <w:rFonts w:cs="Arial"/>
          <w:color w:val="000000" w:themeColor="text1"/>
          <w:lang w:val="en-AU"/>
        </w:rPr>
        <w:t>,</w:t>
      </w:r>
      <w:r w:rsidR="005B28F5" w:rsidRPr="00391D31">
        <w:rPr>
          <w:rFonts w:cs="Arial"/>
          <w:color w:val="FF0000"/>
          <w:lang w:val="en-AU"/>
        </w:rPr>
        <w:t xml:space="preserve"> </w:t>
      </w:r>
      <w:r w:rsidRPr="00391D31">
        <w:rPr>
          <w:rFonts w:cs="Arial"/>
          <w:color w:val="000000" w:themeColor="text1"/>
          <w:lang w:val="en-AU"/>
        </w:rPr>
        <w:t xml:space="preserve">we could expect that access for many parents to preschool is most readily obtained through a centre based day care setting, unless there is a dedicated preschool which they can easily access. In the latest ROGS </w:t>
      </w:r>
      <w:r w:rsidR="002604F2" w:rsidRPr="00391D31">
        <w:rPr>
          <w:rFonts w:cs="Arial"/>
          <w:color w:val="000000" w:themeColor="text1"/>
          <w:lang w:val="en-AU"/>
        </w:rPr>
        <w:t>tables</w:t>
      </w:r>
      <w:r w:rsidRPr="00391D31">
        <w:rPr>
          <w:rFonts w:cs="Arial"/>
          <w:color w:val="000000" w:themeColor="text1"/>
          <w:lang w:val="en-AU"/>
        </w:rPr>
        <w:t>, an average of 41.6</w:t>
      </w:r>
      <w:r w:rsidR="00594317" w:rsidRPr="00391D31">
        <w:rPr>
          <w:rFonts w:cs="Arial"/>
          <w:color w:val="000000" w:themeColor="text1"/>
          <w:lang w:val="en-AU"/>
        </w:rPr>
        <w:t>%</w:t>
      </w:r>
      <w:r w:rsidRPr="00391D31">
        <w:rPr>
          <w:rFonts w:cs="Arial"/>
          <w:color w:val="000000" w:themeColor="text1"/>
          <w:lang w:val="en-AU"/>
        </w:rPr>
        <w:t xml:space="preserve"> of children enrolled in preschool in the year before formal schooling are in centre based day care settings</w:t>
      </w:r>
      <w:r w:rsidR="00594317" w:rsidRPr="00391D31">
        <w:rPr>
          <w:rFonts w:cs="Arial"/>
          <w:color w:val="000000" w:themeColor="text1"/>
          <w:lang w:val="en-AU"/>
        </w:rPr>
        <w:t>;</w:t>
      </w:r>
      <w:r w:rsidRPr="00391D31">
        <w:rPr>
          <w:rFonts w:cs="Arial"/>
          <w:color w:val="000000" w:themeColor="text1"/>
          <w:lang w:val="en-AU"/>
        </w:rPr>
        <w:t xml:space="preserve"> this figure is highest in Queensland and New South Wales (see Table </w:t>
      </w:r>
      <w:r w:rsidR="0067755B" w:rsidRPr="00391D31">
        <w:rPr>
          <w:rFonts w:cs="Arial"/>
          <w:color w:val="000000" w:themeColor="text1"/>
          <w:lang w:val="en-AU"/>
        </w:rPr>
        <w:t>3A.18)</w:t>
      </w:r>
      <w:r w:rsidRPr="00391D31">
        <w:rPr>
          <w:rFonts w:cs="Arial"/>
          <w:color w:val="000000" w:themeColor="text1"/>
          <w:lang w:val="en-AU"/>
        </w:rPr>
        <w:t xml:space="preserve">. </w:t>
      </w:r>
    </w:p>
    <w:p w14:paraId="561A6087" w14:textId="77777777" w:rsidR="004864CC" w:rsidRPr="00391D31" w:rsidRDefault="0067755B" w:rsidP="004864CC">
      <w:pPr>
        <w:pStyle w:val="ListParagraph"/>
        <w:numPr>
          <w:ilvl w:val="0"/>
          <w:numId w:val="12"/>
        </w:numPr>
        <w:rPr>
          <w:rFonts w:cs="Arial"/>
          <w:color w:val="000000" w:themeColor="text1"/>
          <w:lang w:val="en-AU"/>
        </w:rPr>
      </w:pPr>
      <w:r w:rsidRPr="00391D31">
        <w:rPr>
          <w:rFonts w:cs="Arial"/>
          <w:color w:val="000000" w:themeColor="text1"/>
          <w:lang w:val="en-AU"/>
        </w:rPr>
        <w:t xml:space="preserve">We expect that the national picture being compiled will enable detailed analysis to investigate this trend and its </w:t>
      </w:r>
      <w:r w:rsidR="00822F1B" w:rsidRPr="00391D31">
        <w:rPr>
          <w:rFonts w:cs="Arial"/>
          <w:color w:val="000000" w:themeColor="text1"/>
          <w:lang w:val="en-AU"/>
        </w:rPr>
        <w:t>implications</w:t>
      </w:r>
      <w:r w:rsidRPr="00391D31">
        <w:rPr>
          <w:rFonts w:cs="Arial"/>
          <w:color w:val="000000" w:themeColor="text1"/>
          <w:lang w:val="en-AU"/>
        </w:rPr>
        <w:t xml:space="preserve"> for preschool delivery.</w:t>
      </w:r>
    </w:p>
    <w:p w14:paraId="4CF60FC8" w14:textId="77777777" w:rsidR="0067755B" w:rsidRPr="00391D31" w:rsidRDefault="0067755B" w:rsidP="0067755B">
      <w:pPr>
        <w:ind w:left="360"/>
        <w:rPr>
          <w:rFonts w:cs="Arial"/>
          <w:color w:val="000000" w:themeColor="text1"/>
          <w:lang w:val="en-AU"/>
        </w:rPr>
      </w:pPr>
    </w:p>
    <w:p w14:paraId="16C84559" w14:textId="77777777" w:rsidR="00A56B16" w:rsidRPr="00391D31" w:rsidRDefault="0067755B" w:rsidP="005B28F5">
      <w:pPr>
        <w:rPr>
          <w:rFonts w:cs="Arial"/>
          <w:lang w:val="en-AU"/>
        </w:rPr>
      </w:pPr>
      <w:r w:rsidRPr="00391D31">
        <w:rPr>
          <w:rFonts w:cs="Arial"/>
          <w:lang w:val="en-AU"/>
        </w:rPr>
        <w:t xml:space="preserve">The significance of this apparent shift into </w:t>
      </w:r>
      <w:r w:rsidR="00851D5A" w:rsidRPr="00391D31">
        <w:rPr>
          <w:rFonts w:cs="Arial"/>
          <w:lang w:val="en-AU"/>
        </w:rPr>
        <w:t>more</w:t>
      </w:r>
      <w:r w:rsidRPr="00391D31">
        <w:rPr>
          <w:rFonts w:cs="Arial"/>
          <w:lang w:val="en-AU"/>
        </w:rPr>
        <w:t xml:space="preserve"> preschool in what have traditionally been seen as ‘child care’ settings is apparent in the implementation of the agreed National Quality Standards. </w:t>
      </w:r>
      <w:r w:rsidR="00A56B16" w:rsidRPr="00391D31">
        <w:rPr>
          <w:rFonts w:cs="Arial"/>
          <w:lang w:val="en-AU"/>
        </w:rPr>
        <w:t>With the overwhelming majority</w:t>
      </w:r>
      <w:r w:rsidR="007B1225" w:rsidRPr="00391D31">
        <w:rPr>
          <w:rFonts w:cs="Arial"/>
          <w:lang w:val="en-AU"/>
        </w:rPr>
        <w:t xml:space="preserve"> (94%)</w:t>
      </w:r>
      <w:r w:rsidR="00A56B16" w:rsidRPr="00391D31">
        <w:rPr>
          <w:rFonts w:cs="Arial"/>
          <w:lang w:val="en-AU"/>
        </w:rPr>
        <w:t xml:space="preserve"> of </w:t>
      </w:r>
      <w:r w:rsidR="007B1225" w:rsidRPr="00391D31">
        <w:rPr>
          <w:rFonts w:cs="Arial"/>
          <w:lang w:val="en-AU"/>
        </w:rPr>
        <w:t xml:space="preserve">centre-based </w:t>
      </w:r>
      <w:r w:rsidR="00A56B16" w:rsidRPr="00391D31">
        <w:rPr>
          <w:rFonts w:cs="Arial"/>
          <w:lang w:val="en-AU"/>
        </w:rPr>
        <w:t>services now having been rated</w:t>
      </w:r>
      <w:r w:rsidR="005B28F5" w:rsidRPr="00391D31">
        <w:rPr>
          <w:rFonts w:cs="Arial"/>
          <w:lang w:val="en-AU"/>
        </w:rPr>
        <w:t xml:space="preserve"> under the Standards</w:t>
      </w:r>
      <w:r w:rsidR="00391D31" w:rsidRPr="00391D31">
        <w:rPr>
          <w:rFonts w:cs="Arial"/>
          <w:lang w:val="en-AU"/>
        </w:rPr>
        <w:t xml:space="preserve"> by the </w:t>
      </w:r>
      <w:r w:rsidR="000A74DE" w:rsidRPr="00391D31">
        <w:rPr>
          <w:rFonts w:cs="Arial"/>
        </w:rPr>
        <w:t xml:space="preserve">Australian Children’s Education and Care Qualification Authority (ACECQA) </w:t>
      </w:r>
      <w:r w:rsidR="00391D31" w:rsidRPr="00391D31">
        <w:rPr>
          <w:rFonts w:cs="Arial"/>
        </w:rPr>
        <w:t>(</w:t>
      </w:r>
      <w:r w:rsidR="000A74DE" w:rsidRPr="00391D31">
        <w:rPr>
          <w:rFonts w:cs="Arial"/>
        </w:rPr>
        <w:t>2019)</w:t>
      </w:r>
      <w:r w:rsidR="00A56B16" w:rsidRPr="00391D31">
        <w:rPr>
          <w:rFonts w:cs="Arial"/>
          <w:lang w:val="en-AU"/>
        </w:rPr>
        <w:t>, there is a striking discrepancy between the quality ratings of dedicated preschools compared to centre based day care</w:t>
      </w:r>
      <w:r w:rsidR="005161FF" w:rsidRPr="00391D31">
        <w:rPr>
          <w:rFonts w:cs="Arial"/>
          <w:lang w:val="en-AU"/>
        </w:rPr>
        <w:t>. ACECQA (2019:11) reported in May 2019 that:</w:t>
      </w:r>
      <w:r w:rsidR="00A56B16" w:rsidRPr="00391D31">
        <w:rPr>
          <w:rFonts w:cs="Arial"/>
          <w:lang w:val="en-AU"/>
        </w:rPr>
        <w:t xml:space="preserve"> </w:t>
      </w:r>
    </w:p>
    <w:p w14:paraId="1C192B12" w14:textId="0EB189BF" w:rsidR="00517246" w:rsidRPr="00391D31" w:rsidRDefault="00245DB1" w:rsidP="005161FF">
      <w:pPr>
        <w:pStyle w:val="ListParagraph"/>
        <w:numPr>
          <w:ilvl w:val="0"/>
          <w:numId w:val="12"/>
        </w:numPr>
        <w:rPr>
          <w:rFonts w:cs="Arial"/>
          <w:color w:val="000000" w:themeColor="text1"/>
          <w:lang w:val="en-AU"/>
        </w:rPr>
      </w:pPr>
      <w:r w:rsidRPr="00391D31">
        <w:rPr>
          <w:rFonts w:cs="Arial"/>
          <w:color w:val="000000" w:themeColor="text1"/>
          <w:lang w:val="en-AU"/>
        </w:rPr>
        <w:t xml:space="preserve"> 21% of</w:t>
      </w:r>
      <w:r w:rsidR="007B1225" w:rsidRPr="00391D31">
        <w:rPr>
          <w:rFonts w:cs="Arial"/>
          <w:color w:val="000000" w:themeColor="text1"/>
          <w:lang w:val="en-AU"/>
        </w:rPr>
        <w:t xml:space="preserve"> ‘long day care centres’</w:t>
      </w:r>
      <w:r w:rsidRPr="00391D31">
        <w:rPr>
          <w:rFonts w:cs="Arial"/>
          <w:color w:val="000000" w:themeColor="text1"/>
          <w:lang w:val="en-AU"/>
        </w:rPr>
        <w:t xml:space="preserve"> did</w:t>
      </w:r>
      <w:r w:rsidR="00517246" w:rsidRPr="00391D31">
        <w:rPr>
          <w:rFonts w:cs="Arial"/>
          <w:color w:val="000000" w:themeColor="text1"/>
          <w:lang w:val="en-AU"/>
        </w:rPr>
        <w:t xml:space="preserve"> not meet</w:t>
      </w:r>
      <w:r w:rsidR="00CE29F0">
        <w:rPr>
          <w:rFonts w:cs="Arial"/>
          <w:color w:val="000000" w:themeColor="text1"/>
          <w:lang w:val="en-AU"/>
        </w:rPr>
        <w:t xml:space="preserve"> the National Quality Standard</w:t>
      </w:r>
      <w:r w:rsidR="007B1225" w:rsidRPr="00391D31">
        <w:rPr>
          <w:rFonts w:cs="Arial"/>
          <w:color w:val="000000" w:themeColor="text1"/>
          <w:lang w:val="en-AU"/>
        </w:rPr>
        <w:t xml:space="preserve"> compared to 8% of preschools/kindergartens, and </w:t>
      </w:r>
      <w:r w:rsidR="00517246" w:rsidRPr="00391D31">
        <w:rPr>
          <w:rFonts w:cs="Arial"/>
          <w:color w:val="000000" w:themeColor="text1"/>
          <w:lang w:val="en-AU"/>
        </w:rPr>
        <w:t>the proportion of those</w:t>
      </w:r>
      <w:r w:rsidR="008D22DA" w:rsidRPr="00391D31">
        <w:rPr>
          <w:rFonts w:cs="Arial"/>
          <w:color w:val="000000" w:themeColor="text1"/>
          <w:lang w:val="en-AU"/>
        </w:rPr>
        <w:t xml:space="preserve"> centres</w:t>
      </w:r>
      <w:r w:rsidR="00517246" w:rsidRPr="00391D31">
        <w:rPr>
          <w:rFonts w:cs="Arial"/>
          <w:color w:val="000000" w:themeColor="text1"/>
          <w:lang w:val="en-AU"/>
        </w:rPr>
        <w:t xml:space="preserve"> exceeding the Standard </w:t>
      </w:r>
      <w:r w:rsidR="005161FF" w:rsidRPr="00391D31">
        <w:rPr>
          <w:rFonts w:cs="Arial"/>
          <w:color w:val="000000" w:themeColor="text1"/>
          <w:lang w:val="en-AU"/>
        </w:rPr>
        <w:t>was</w:t>
      </w:r>
      <w:r w:rsidR="00517246" w:rsidRPr="00391D31">
        <w:rPr>
          <w:rFonts w:cs="Arial"/>
          <w:color w:val="000000" w:themeColor="text1"/>
          <w:lang w:val="en-AU"/>
        </w:rPr>
        <w:t xml:space="preserve"> much lower (30% </w:t>
      </w:r>
      <w:r w:rsidR="007B1225" w:rsidRPr="00391D31">
        <w:rPr>
          <w:rFonts w:cs="Arial"/>
          <w:color w:val="000000" w:themeColor="text1"/>
          <w:lang w:val="en-AU"/>
        </w:rPr>
        <w:t>compared to 59%</w:t>
      </w:r>
      <w:r w:rsidR="00517246" w:rsidRPr="00391D31">
        <w:rPr>
          <w:rFonts w:cs="Arial"/>
          <w:color w:val="000000" w:themeColor="text1"/>
          <w:lang w:val="en-AU"/>
        </w:rPr>
        <w:t>)</w:t>
      </w:r>
      <w:r w:rsidR="00CE29F0">
        <w:rPr>
          <w:rFonts w:cs="Arial"/>
          <w:color w:val="000000" w:themeColor="text1"/>
          <w:lang w:val="en-AU"/>
        </w:rPr>
        <w:t>, and that</w:t>
      </w:r>
    </w:p>
    <w:p w14:paraId="0C960CD0" w14:textId="77777777" w:rsidR="00AF1A49" w:rsidRPr="00391D31" w:rsidRDefault="00AF1A49" w:rsidP="005161FF">
      <w:pPr>
        <w:pStyle w:val="ListParagraph"/>
        <w:numPr>
          <w:ilvl w:val="0"/>
          <w:numId w:val="12"/>
        </w:numPr>
        <w:rPr>
          <w:rFonts w:cs="Arial"/>
          <w:color w:val="000000" w:themeColor="text1"/>
          <w:lang w:val="en-AU"/>
        </w:rPr>
      </w:pPr>
      <w:r w:rsidRPr="00391D31">
        <w:rPr>
          <w:rFonts w:cs="Arial"/>
          <w:color w:val="000000" w:themeColor="text1"/>
          <w:lang w:val="en-AU"/>
        </w:rPr>
        <w:t>‘Private for profit’ providers perform</w:t>
      </w:r>
      <w:r w:rsidR="008D22DA" w:rsidRPr="00391D31">
        <w:rPr>
          <w:rFonts w:cs="Arial"/>
          <w:color w:val="000000" w:themeColor="text1"/>
          <w:lang w:val="en-AU"/>
        </w:rPr>
        <w:t>ed</w:t>
      </w:r>
      <w:r w:rsidRPr="00391D31">
        <w:rPr>
          <w:rFonts w:cs="Arial"/>
          <w:color w:val="000000" w:themeColor="text1"/>
          <w:lang w:val="en-AU"/>
        </w:rPr>
        <w:t xml:space="preserve"> less well against the Standard than other service types</w:t>
      </w:r>
      <w:r w:rsidR="005161FF" w:rsidRPr="00391D31">
        <w:rPr>
          <w:rFonts w:cs="Arial"/>
          <w:color w:val="000000" w:themeColor="text1"/>
          <w:lang w:val="en-AU"/>
        </w:rPr>
        <w:t>.</w:t>
      </w:r>
    </w:p>
    <w:p w14:paraId="73762EAC" w14:textId="77777777" w:rsidR="00AF1A49" w:rsidRPr="00391D31" w:rsidRDefault="00AF1A49" w:rsidP="005161FF">
      <w:pPr>
        <w:pStyle w:val="ListParagraph"/>
        <w:rPr>
          <w:rFonts w:cs="Arial"/>
          <w:lang w:val="en-AU"/>
        </w:rPr>
      </w:pPr>
    </w:p>
    <w:p w14:paraId="17E975A5" w14:textId="77777777" w:rsidR="00B728E7" w:rsidRPr="00391D31" w:rsidRDefault="00CD2D76" w:rsidP="00EF2BAB">
      <w:pPr>
        <w:rPr>
          <w:rFonts w:cs="Arial"/>
          <w:b/>
          <w:lang w:val="en-AU"/>
        </w:rPr>
      </w:pPr>
      <w:r w:rsidRPr="00391D31">
        <w:rPr>
          <w:rFonts w:cs="Arial"/>
        </w:rPr>
        <w:t>Consistent</w:t>
      </w:r>
      <w:r w:rsidR="001F0EF9" w:rsidRPr="00391D31">
        <w:rPr>
          <w:rFonts w:cs="Arial"/>
        </w:rPr>
        <w:t xml:space="preserve"> quality in </w:t>
      </w:r>
      <w:r w:rsidRPr="00391D31">
        <w:rPr>
          <w:rFonts w:cs="Arial"/>
        </w:rPr>
        <w:t>early learning</w:t>
      </w:r>
      <w:r w:rsidR="001F0EF9" w:rsidRPr="00391D31">
        <w:rPr>
          <w:rFonts w:cs="Arial"/>
        </w:rPr>
        <w:t xml:space="preserve"> programs regardless of setting is a vital issue, </w:t>
      </w:r>
      <w:r w:rsidR="00851D5A" w:rsidRPr="00391D31">
        <w:rPr>
          <w:rFonts w:cs="Arial"/>
        </w:rPr>
        <w:t>as</w:t>
      </w:r>
      <w:r w:rsidR="001F0EF9" w:rsidRPr="00391D31">
        <w:rPr>
          <w:rFonts w:cs="Arial"/>
        </w:rPr>
        <w:t xml:space="preserve"> reinforced by the finding from the longitudinal Australian E4Kids study that only 7% of disadvantaged children received high quality educational support compared to 30% of the wealthiest children (</w:t>
      </w:r>
      <w:r w:rsidR="00517246" w:rsidRPr="00391D31">
        <w:rPr>
          <w:rFonts w:cs="Arial"/>
        </w:rPr>
        <w:t xml:space="preserve">cited in </w:t>
      </w:r>
      <w:r w:rsidR="001F0EF9" w:rsidRPr="00391D31">
        <w:rPr>
          <w:rFonts w:cs="Arial"/>
        </w:rPr>
        <w:t>Jackson 2019). T</w:t>
      </w:r>
      <w:r w:rsidR="00663114" w:rsidRPr="00391D31">
        <w:rPr>
          <w:rFonts w:cs="Arial"/>
        </w:rPr>
        <w:t>h</w:t>
      </w:r>
      <w:r w:rsidR="001F0EF9" w:rsidRPr="00391D31">
        <w:rPr>
          <w:rFonts w:cs="Arial"/>
        </w:rPr>
        <w:t>is</w:t>
      </w:r>
      <w:r w:rsidR="00663114" w:rsidRPr="00391D31">
        <w:rPr>
          <w:rFonts w:cs="Arial"/>
        </w:rPr>
        <w:t xml:space="preserve"> underlines the importance of</w:t>
      </w:r>
      <w:r w:rsidR="001F5F54" w:rsidRPr="00391D31">
        <w:rPr>
          <w:rFonts w:cs="Arial"/>
        </w:rPr>
        <w:t xml:space="preserve"> </w:t>
      </w:r>
      <w:r w:rsidR="00E5682F" w:rsidRPr="00391D31">
        <w:rPr>
          <w:rFonts w:cs="Arial"/>
        </w:rPr>
        <w:t xml:space="preserve">reinvigorated </w:t>
      </w:r>
      <w:r w:rsidR="001F5F54" w:rsidRPr="00391D31">
        <w:rPr>
          <w:rFonts w:cs="Arial"/>
        </w:rPr>
        <w:t xml:space="preserve">Commonwealth leadership in </w:t>
      </w:r>
      <w:r w:rsidR="00663114" w:rsidRPr="00391D31">
        <w:rPr>
          <w:rFonts w:cs="Arial"/>
        </w:rPr>
        <w:t>early childhood workforce</w:t>
      </w:r>
      <w:r w:rsidR="001F5F54" w:rsidRPr="00391D31">
        <w:rPr>
          <w:rFonts w:cs="Arial"/>
        </w:rPr>
        <w:t xml:space="preserve"> planning</w:t>
      </w:r>
      <w:r w:rsidR="00E5682F" w:rsidRPr="00391D31">
        <w:rPr>
          <w:rFonts w:cs="Arial"/>
        </w:rPr>
        <w:t>, with the national workforce strategy having expired in 2016</w:t>
      </w:r>
      <w:r w:rsidR="00663114" w:rsidRPr="00391D31">
        <w:rPr>
          <w:rFonts w:cs="Arial"/>
        </w:rPr>
        <w:t xml:space="preserve">. The association between higher </w:t>
      </w:r>
      <w:r w:rsidRPr="00391D31">
        <w:rPr>
          <w:rFonts w:cs="Arial"/>
        </w:rPr>
        <w:t xml:space="preserve">teacher </w:t>
      </w:r>
      <w:r w:rsidR="00663114" w:rsidRPr="00391D31">
        <w:rPr>
          <w:rFonts w:cs="Arial"/>
        </w:rPr>
        <w:t xml:space="preserve">qualifications and higher-quality </w:t>
      </w:r>
      <w:r w:rsidRPr="00391D31">
        <w:rPr>
          <w:rFonts w:cs="Arial"/>
        </w:rPr>
        <w:t>child outcomes</w:t>
      </w:r>
      <w:r w:rsidR="005E2434" w:rsidRPr="00391D31">
        <w:rPr>
          <w:rFonts w:cs="Arial"/>
        </w:rPr>
        <w:t xml:space="preserve"> is well recognised</w:t>
      </w:r>
      <w:r w:rsidRPr="00391D31">
        <w:rPr>
          <w:rFonts w:cs="Arial"/>
        </w:rPr>
        <w:t>,</w:t>
      </w:r>
      <w:r w:rsidR="00D34262" w:rsidRPr="00391D31">
        <w:rPr>
          <w:rStyle w:val="FootnoteReference"/>
          <w:rFonts w:cs="Arial"/>
        </w:rPr>
        <w:footnoteReference w:id="4"/>
      </w:r>
      <w:r w:rsidR="005E2434" w:rsidRPr="00391D31">
        <w:rPr>
          <w:rFonts w:cs="Arial"/>
        </w:rPr>
        <w:t xml:space="preserve"> and there is an </w:t>
      </w:r>
      <w:r w:rsidR="00E5682F" w:rsidRPr="00391D31">
        <w:rPr>
          <w:rFonts w:cs="Arial"/>
        </w:rPr>
        <w:t xml:space="preserve">urgent need for </w:t>
      </w:r>
      <w:r w:rsidR="001F5F54" w:rsidRPr="00391D31">
        <w:rPr>
          <w:rFonts w:cs="Arial"/>
        </w:rPr>
        <w:t xml:space="preserve">action to address the shortfall in early childhood teachers, as well as other early childhood qualifications. </w:t>
      </w:r>
      <w:r w:rsidR="000877F2" w:rsidRPr="00391D31">
        <w:rPr>
          <w:rFonts w:cs="Arial"/>
        </w:rPr>
        <w:t xml:space="preserve">Based on the estimated need of some 49,000 preschool teachers by 2023, </w:t>
      </w:r>
      <w:r w:rsidR="00153854" w:rsidRPr="00391D31">
        <w:rPr>
          <w:rFonts w:cs="Arial"/>
        </w:rPr>
        <w:t>there would be a</w:t>
      </w:r>
      <w:r w:rsidR="00E5682F" w:rsidRPr="00391D31">
        <w:rPr>
          <w:rFonts w:cs="Arial"/>
        </w:rPr>
        <w:t xml:space="preserve"> </w:t>
      </w:r>
      <w:r w:rsidR="000877F2" w:rsidRPr="00391D31">
        <w:rPr>
          <w:rFonts w:cs="Arial"/>
        </w:rPr>
        <w:t xml:space="preserve">shortfall of at least </w:t>
      </w:r>
      <w:r w:rsidR="00E5682F" w:rsidRPr="00391D31">
        <w:rPr>
          <w:rFonts w:cs="Arial"/>
        </w:rPr>
        <w:t>17,800 given</w:t>
      </w:r>
      <w:r w:rsidR="000877F2" w:rsidRPr="00391D31">
        <w:rPr>
          <w:rFonts w:cs="Arial"/>
        </w:rPr>
        <w:t xml:space="preserve"> current enrolment and graduation rates, which </w:t>
      </w:r>
      <w:r w:rsidR="00AF480A" w:rsidRPr="00391D31">
        <w:rPr>
          <w:rFonts w:cs="Arial"/>
        </w:rPr>
        <w:t>c</w:t>
      </w:r>
      <w:r w:rsidR="00193CE5" w:rsidRPr="00391D31">
        <w:rPr>
          <w:rFonts w:cs="Arial"/>
        </w:rPr>
        <w:t>ould leave some one third of services offering preschool without a qualified teacher</w:t>
      </w:r>
      <w:r w:rsidR="000877F2" w:rsidRPr="00391D31">
        <w:rPr>
          <w:rFonts w:cs="Arial"/>
        </w:rPr>
        <w:t xml:space="preserve"> (O’Connell 2019)</w:t>
      </w:r>
      <w:r w:rsidRPr="00391D31">
        <w:rPr>
          <w:rFonts w:cs="Arial"/>
        </w:rPr>
        <w:t>.</w:t>
      </w:r>
      <w:r w:rsidR="00E5682F" w:rsidRPr="00391D31">
        <w:rPr>
          <w:rFonts w:cs="Arial"/>
        </w:rPr>
        <w:t xml:space="preserve"> Transitional provisions regarding preschool teachers in remote and very remote areas were also recently extended</w:t>
      </w:r>
      <w:r w:rsidR="00AF480A" w:rsidRPr="00391D31">
        <w:rPr>
          <w:rFonts w:cs="Arial"/>
        </w:rPr>
        <w:t xml:space="preserve"> by education ministers</w:t>
      </w:r>
      <w:r w:rsidR="00E5682F" w:rsidRPr="00391D31">
        <w:rPr>
          <w:rFonts w:cs="Arial"/>
        </w:rPr>
        <w:t xml:space="preserve"> – again – into 2021 and 2023 (for Western Australia and the Northern Territory).</w:t>
      </w:r>
    </w:p>
    <w:p w14:paraId="725309D7" w14:textId="77777777" w:rsidR="00B728E7" w:rsidRPr="00391D31" w:rsidRDefault="00B728E7" w:rsidP="00EF2BAB">
      <w:pPr>
        <w:rPr>
          <w:rFonts w:cs="Arial"/>
          <w:b/>
          <w:lang w:val="en-AU"/>
        </w:rPr>
      </w:pPr>
    </w:p>
    <w:p w14:paraId="76AD6135" w14:textId="77777777" w:rsidR="00B728E7" w:rsidRPr="00E258F7" w:rsidRDefault="00B728E7" w:rsidP="00E258F7">
      <w:pPr>
        <w:pStyle w:val="ListParagraph"/>
        <w:numPr>
          <w:ilvl w:val="0"/>
          <w:numId w:val="15"/>
        </w:numPr>
        <w:ind w:left="851"/>
        <w:rPr>
          <w:rFonts w:cs="Arial"/>
          <w:b/>
          <w:sz w:val="28"/>
          <w:lang w:val="en-AU"/>
        </w:rPr>
      </w:pPr>
      <w:r w:rsidRPr="00E258F7">
        <w:rPr>
          <w:rFonts w:cs="Arial"/>
          <w:b/>
          <w:sz w:val="28"/>
          <w:lang w:val="en-AU"/>
        </w:rPr>
        <w:t xml:space="preserve">Dedicated resources for </w:t>
      </w:r>
      <w:r w:rsidR="00BA4A47" w:rsidRPr="00E258F7">
        <w:rPr>
          <w:rFonts w:cs="Arial"/>
          <w:b/>
          <w:sz w:val="28"/>
          <w:lang w:val="en-AU"/>
        </w:rPr>
        <w:t xml:space="preserve">data improvement. collaborative research, </w:t>
      </w:r>
      <w:r w:rsidRPr="00E258F7">
        <w:rPr>
          <w:rFonts w:cs="Arial"/>
          <w:b/>
          <w:sz w:val="28"/>
          <w:lang w:val="en-AU"/>
        </w:rPr>
        <w:t>evaluation and innovation, including identification of ‘what works’</w:t>
      </w:r>
    </w:p>
    <w:p w14:paraId="747721DE" w14:textId="77777777" w:rsidR="004E6DB3" w:rsidRPr="00391D31" w:rsidRDefault="004E6DB3" w:rsidP="00BF7355">
      <w:pPr>
        <w:keepNext/>
        <w:rPr>
          <w:rFonts w:cs="Arial"/>
          <w:lang w:val="en-AU"/>
        </w:rPr>
      </w:pPr>
    </w:p>
    <w:p w14:paraId="195B25FB" w14:textId="77777777" w:rsidR="00EB4D55" w:rsidRPr="00391D31" w:rsidRDefault="00A42B40" w:rsidP="00EB4D55">
      <w:pPr>
        <w:rPr>
          <w:rFonts w:cs="Arial"/>
          <w:color w:val="000000" w:themeColor="text1"/>
          <w:lang w:val="en-AU"/>
        </w:rPr>
      </w:pPr>
      <w:r w:rsidRPr="00391D31">
        <w:rPr>
          <w:rFonts w:cs="Arial"/>
          <w:color w:val="000000" w:themeColor="text1"/>
          <w:lang w:val="en-AU"/>
        </w:rPr>
        <w:t xml:space="preserve">National investment in data collection, research and monitoring has ensured that a </w:t>
      </w:r>
      <w:r w:rsidR="00CD2D76" w:rsidRPr="00391D31">
        <w:rPr>
          <w:rFonts w:cs="Arial"/>
          <w:color w:val="000000" w:themeColor="text1"/>
          <w:lang w:val="en-AU"/>
        </w:rPr>
        <w:t xml:space="preserve">clearer </w:t>
      </w:r>
      <w:r w:rsidRPr="00391D31">
        <w:rPr>
          <w:rFonts w:cs="Arial"/>
          <w:color w:val="000000" w:themeColor="text1"/>
          <w:lang w:val="en-AU"/>
        </w:rPr>
        <w:t xml:space="preserve">statistical picture is now available and that data linkages can be made between the Australian Early Development Census, NAPLAN data and other key sources such as the Longitudinal Study of Australian children. Nevertheless, it is clear – and not surprising </w:t>
      </w:r>
      <w:r w:rsidR="005B3D09" w:rsidRPr="00391D31">
        <w:rPr>
          <w:rFonts w:cs="Arial"/>
          <w:color w:val="000000" w:themeColor="text1"/>
          <w:lang w:val="en-AU"/>
        </w:rPr>
        <w:t>given the diversity of sectors and services</w:t>
      </w:r>
      <w:r w:rsidR="00CD2D76" w:rsidRPr="00391D31">
        <w:rPr>
          <w:rFonts w:cs="Arial"/>
          <w:color w:val="000000" w:themeColor="text1"/>
          <w:lang w:val="en-AU"/>
        </w:rPr>
        <w:t xml:space="preserve"> –</w:t>
      </w:r>
      <w:r w:rsidR="00BA1D09" w:rsidRPr="00391D31">
        <w:rPr>
          <w:rFonts w:cs="Arial"/>
          <w:color w:val="000000" w:themeColor="text1"/>
          <w:lang w:val="en-AU"/>
        </w:rPr>
        <w:t xml:space="preserve"> </w:t>
      </w:r>
      <w:r w:rsidRPr="00391D31">
        <w:rPr>
          <w:rFonts w:cs="Arial"/>
          <w:color w:val="000000" w:themeColor="text1"/>
          <w:lang w:val="en-AU"/>
        </w:rPr>
        <w:t xml:space="preserve">that </w:t>
      </w:r>
      <w:r w:rsidR="00BA1D09" w:rsidRPr="00391D31">
        <w:rPr>
          <w:rFonts w:cs="Arial"/>
          <w:color w:val="000000" w:themeColor="text1"/>
          <w:lang w:val="en-AU"/>
        </w:rPr>
        <w:t xml:space="preserve">there remain challenges in data collection methodologies and areas for further improvement. </w:t>
      </w:r>
    </w:p>
    <w:p w14:paraId="58CCCA0D" w14:textId="77777777" w:rsidR="00EB4D55" w:rsidRPr="00391D31" w:rsidRDefault="00EB4D55" w:rsidP="00E021BF">
      <w:pPr>
        <w:rPr>
          <w:rFonts w:cs="Arial"/>
          <w:lang w:val="en-AU"/>
        </w:rPr>
      </w:pPr>
    </w:p>
    <w:p w14:paraId="43703395" w14:textId="77777777" w:rsidR="00D7304E" w:rsidRPr="00391D31" w:rsidRDefault="007B5E41" w:rsidP="00E021BF">
      <w:pPr>
        <w:rPr>
          <w:rFonts w:cs="Arial"/>
          <w:lang w:val="en-AU"/>
        </w:rPr>
      </w:pPr>
      <w:r w:rsidRPr="00391D31">
        <w:rPr>
          <w:rFonts w:cs="Arial"/>
          <w:lang w:val="en-AU"/>
        </w:rPr>
        <w:t xml:space="preserve">One of </w:t>
      </w:r>
      <w:r w:rsidR="00594317" w:rsidRPr="00391D31">
        <w:rPr>
          <w:rFonts w:cs="Arial"/>
          <w:lang w:val="en-AU"/>
        </w:rPr>
        <w:t xml:space="preserve">the </w:t>
      </w:r>
      <w:r w:rsidR="00D7304E" w:rsidRPr="00391D31">
        <w:rPr>
          <w:rFonts w:cs="Arial"/>
          <w:lang w:val="en-AU"/>
        </w:rPr>
        <w:t xml:space="preserve">quiet successes </w:t>
      </w:r>
      <w:r w:rsidR="00594317" w:rsidRPr="00391D31">
        <w:rPr>
          <w:rFonts w:cs="Arial"/>
          <w:lang w:val="en-AU"/>
        </w:rPr>
        <w:t>of the initial N</w:t>
      </w:r>
      <w:r w:rsidR="00CF29D3" w:rsidRPr="00391D31">
        <w:rPr>
          <w:rFonts w:cs="Arial"/>
          <w:lang w:val="en-AU"/>
        </w:rPr>
        <w:t>ational Partnership Universal Access Agreement</w:t>
      </w:r>
      <w:r w:rsidRPr="00391D31">
        <w:rPr>
          <w:rFonts w:cs="Arial"/>
          <w:lang w:val="en-AU"/>
        </w:rPr>
        <w:t xml:space="preserve"> that commenced in 2009 was that it sequestered funds</w:t>
      </w:r>
      <w:r w:rsidR="007920C4" w:rsidRPr="00391D31">
        <w:rPr>
          <w:rFonts w:cs="Arial"/>
          <w:lang w:val="en-AU"/>
        </w:rPr>
        <w:t xml:space="preserve"> </w:t>
      </w:r>
      <w:r w:rsidR="00B728E7" w:rsidRPr="00391D31">
        <w:rPr>
          <w:rFonts w:cs="Arial"/>
          <w:lang w:val="en-AU"/>
        </w:rPr>
        <w:t xml:space="preserve">of </w:t>
      </w:r>
      <w:r w:rsidR="007920C4" w:rsidRPr="00391D31">
        <w:rPr>
          <w:rFonts w:cs="Arial"/>
          <w:lang w:val="en-AU"/>
        </w:rPr>
        <w:t>$15m</w:t>
      </w:r>
      <w:r w:rsidR="00B728E7" w:rsidRPr="00391D31">
        <w:rPr>
          <w:rFonts w:cs="Arial"/>
          <w:lang w:val="en-AU"/>
        </w:rPr>
        <w:t>,</w:t>
      </w:r>
      <w:r w:rsidR="007920C4" w:rsidRPr="00391D31">
        <w:rPr>
          <w:rFonts w:cs="Arial"/>
          <w:lang w:val="en-AU"/>
        </w:rPr>
        <w:t xml:space="preserve"> or </w:t>
      </w:r>
      <w:r w:rsidR="004E5F9A" w:rsidRPr="00391D31">
        <w:rPr>
          <w:rFonts w:cs="Arial"/>
          <w:lang w:val="en-AU"/>
        </w:rPr>
        <w:t>$3m annuall</w:t>
      </w:r>
      <w:r w:rsidR="00B728E7" w:rsidRPr="00391D31">
        <w:rPr>
          <w:rFonts w:cs="Arial"/>
          <w:lang w:val="en-AU"/>
        </w:rPr>
        <w:t>y,</w:t>
      </w:r>
      <w:r w:rsidR="004E5F9A" w:rsidRPr="00391D31">
        <w:rPr>
          <w:rFonts w:cs="Arial"/>
          <w:lang w:val="en-AU"/>
        </w:rPr>
        <w:t xml:space="preserve"> for agreed research, data development and analysis. This fund facilitated the production of valuable information and data for the parties to the NP and for the sector as a whole</w:t>
      </w:r>
      <w:r w:rsidR="00B654CD" w:rsidRPr="00391D31">
        <w:rPr>
          <w:rFonts w:cs="Arial"/>
          <w:lang w:val="en-AU"/>
        </w:rPr>
        <w:t>. This included analysis of</w:t>
      </w:r>
      <w:r w:rsidR="004E5F9A" w:rsidRPr="00391D31">
        <w:rPr>
          <w:rFonts w:cs="Arial"/>
          <w:lang w:val="en-AU"/>
        </w:rPr>
        <w:t xml:space="preserve"> the performance of the </w:t>
      </w:r>
      <w:r w:rsidR="00CF29D3" w:rsidRPr="00391D31">
        <w:rPr>
          <w:rFonts w:cs="Arial"/>
          <w:lang w:val="en-AU"/>
        </w:rPr>
        <w:t>Agreement</w:t>
      </w:r>
      <w:r w:rsidR="004E5F9A" w:rsidRPr="00391D31">
        <w:rPr>
          <w:rFonts w:cs="Arial"/>
          <w:lang w:val="en-AU"/>
        </w:rPr>
        <w:t xml:space="preserve"> itself (eg through determining agreed approaches to data definitions, collections, analysis and publication) and </w:t>
      </w:r>
      <w:r w:rsidR="00B728E7" w:rsidRPr="00391D31">
        <w:rPr>
          <w:rFonts w:cs="Arial"/>
          <w:lang w:val="en-AU"/>
        </w:rPr>
        <w:t>into</w:t>
      </w:r>
      <w:r w:rsidR="004E5F9A" w:rsidRPr="00391D31">
        <w:rPr>
          <w:rFonts w:cs="Arial"/>
          <w:lang w:val="en-AU"/>
        </w:rPr>
        <w:t xml:space="preserve"> issues affecting the quality and impact of preschool in Australia (eg research on ‘hard to reach’ populations).</w:t>
      </w:r>
      <w:r w:rsidR="00CF29D3" w:rsidRPr="00391D31">
        <w:rPr>
          <w:rFonts w:cs="Arial"/>
          <w:lang w:val="en-AU"/>
        </w:rPr>
        <w:t xml:space="preserve"> A key </w:t>
      </w:r>
      <w:r w:rsidR="00D7304E" w:rsidRPr="00391D31">
        <w:rPr>
          <w:rFonts w:cs="Arial"/>
          <w:lang w:val="en-AU"/>
        </w:rPr>
        <w:t xml:space="preserve">strength was that this </w:t>
      </w:r>
      <w:r w:rsidR="00CF29D3" w:rsidRPr="00391D31">
        <w:rPr>
          <w:rFonts w:cs="Arial"/>
          <w:lang w:val="en-AU"/>
        </w:rPr>
        <w:t>involved a collaborative approach involving a Commonwealth/State working group (see Mercer and Jarvie 2017).</w:t>
      </w:r>
      <w:r w:rsidR="004E5F9A" w:rsidRPr="00391D31">
        <w:rPr>
          <w:rFonts w:cs="Arial"/>
          <w:lang w:val="en-AU"/>
        </w:rPr>
        <w:t xml:space="preserve"> </w:t>
      </w:r>
    </w:p>
    <w:p w14:paraId="4277B352" w14:textId="77777777" w:rsidR="00D7304E" w:rsidRPr="00391D31" w:rsidRDefault="00D7304E" w:rsidP="00E021BF">
      <w:pPr>
        <w:rPr>
          <w:rFonts w:cs="Arial"/>
          <w:lang w:val="en-AU"/>
        </w:rPr>
      </w:pPr>
    </w:p>
    <w:p w14:paraId="0527229D" w14:textId="77777777" w:rsidR="00D7304E" w:rsidRPr="00391D31" w:rsidRDefault="004E5F9A" w:rsidP="005161FF">
      <w:pPr>
        <w:rPr>
          <w:rFonts w:cs="Arial"/>
          <w:lang w:val="en-AU"/>
        </w:rPr>
      </w:pPr>
      <w:r w:rsidRPr="00391D31">
        <w:rPr>
          <w:rFonts w:cs="Arial"/>
          <w:lang w:val="en-AU"/>
        </w:rPr>
        <w:t>There is a need</w:t>
      </w:r>
      <w:r w:rsidR="00B654CD" w:rsidRPr="00391D31">
        <w:rPr>
          <w:rFonts w:cs="Arial"/>
          <w:lang w:val="en-AU"/>
        </w:rPr>
        <w:t xml:space="preserve"> now</w:t>
      </w:r>
      <w:r w:rsidRPr="00391D31">
        <w:rPr>
          <w:rFonts w:cs="Arial"/>
          <w:lang w:val="en-AU"/>
        </w:rPr>
        <w:t xml:space="preserve"> to strengthen the collaborative effort of governments </w:t>
      </w:r>
      <w:r w:rsidR="00383FB1" w:rsidRPr="00391D31">
        <w:rPr>
          <w:rFonts w:cs="Arial"/>
          <w:lang w:val="en-AU"/>
        </w:rPr>
        <w:t>(</w:t>
      </w:r>
      <w:r w:rsidR="00B654CD" w:rsidRPr="00391D31">
        <w:rPr>
          <w:rFonts w:cs="Arial"/>
          <w:lang w:val="en-AU"/>
        </w:rPr>
        <w:t xml:space="preserve">with each other and </w:t>
      </w:r>
      <w:r w:rsidRPr="00391D31">
        <w:rPr>
          <w:rFonts w:cs="Arial"/>
          <w:lang w:val="en-AU"/>
        </w:rPr>
        <w:t>with the sector</w:t>
      </w:r>
      <w:r w:rsidR="00383FB1" w:rsidRPr="00391D31">
        <w:rPr>
          <w:rFonts w:cs="Arial"/>
          <w:lang w:val="en-AU"/>
        </w:rPr>
        <w:t>)</w:t>
      </w:r>
      <w:r w:rsidRPr="00391D31">
        <w:rPr>
          <w:rFonts w:cs="Arial"/>
          <w:lang w:val="en-AU"/>
        </w:rPr>
        <w:t xml:space="preserve"> </w:t>
      </w:r>
      <w:r w:rsidR="00B654CD" w:rsidRPr="00391D31">
        <w:rPr>
          <w:rFonts w:cs="Arial"/>
          <w:lang w:val="en-AU"/>
        </w:rPr>
        <w:t>on</w:t>
      </w:r>
      <w:r w:rsidRPr="00391D31">
        <w:rPr>
          <w:rFonts w:cs="Arial"/>
          <w:lang w:val="en-AU"/>
        </w:rPr>
        <w:t xml:space="preserve"> </w:t>
      </w:r>
      <w:r w:rsidR="008B67D2" w:rsidRPr="00391D31">
        <w:rPr>
          <w:rFonts w:cs="Arial"/>
          <w:lang w:val="en-AU"/>
        </w:rPr>
        <w:t xml:space="preserve">innovation, </w:t>
      </w:r>
      <w:r w:rsidRPr="00391D31">
        <w:rPr>
          <w:rFonts w:cs="Arial"/>
          <w:lang w:val="en-AU"/>
        </w:rPr>
        <w:t>research, data and analysis</w:t>
      </w:r>
      <w:r w:rsidR="00B654CD" w:rsidRPr="00391D31">
        <w:rPr>
          <w:rFonts w:cs="Arial"/>
          <w:lang w:val="en-AU"/>
        </w:rPr>
        <w:t>,</w:t>
      </w:r>
      <w:r w:rsidRPr="00391D31">
        <w:rPr>
          <w:rFonts w:cs="Arial"/>
          <w:lang w:val="en-AU"/>
        </w:rPr>
        <w:t xml:space="preserve"> </w:t>
      </w:r>
      <w:r w:rsidR="004C4063" w:rsidRPr="00391D31">
        <w:rPr>
          <w:rFonts w:cs="Arial"/>
          <w:lang w:val="en-AU"/>
        </w:rPr>
        <w:t>to underpin</w:t>
      </w:r>
      <w:r w:rsidRPr="00391D31">
        <w:rPr>
          <w:rFonts w:cs="Arial"/>
          <w:lang w:val="en-AU"/>
        </w:rPr>
        <w:t xml:space="preserve"> future poli</w:t>
      </w:r>
      <w:r w:rsidR="004C4063" w:rsidRPr="00391D31">
        <w:rPr>
          <w:rFonts w:cs="Arial"/>
          <w:lang w:val="en-AU"/>
        </w:rPr>
        <w:t>cy, service design and delivery</w:t>
      </w:r>
      <w:r w:rsidR="008B67D2" w:rsidRPr="00391D31">
        <w:rPr>
          <w:rFonts w:cs="Arial"/>
          <w:lang w:val="en-AU"/>
        </w:rPr>
        <w:t xml:space="preserve">. </w:t>
      </w:r>
      <w:r w:rsidR="004C4063" w:rsidRPr="00391D31">
        <w:rPr>
          <w:rFonts w:cs="Arial"/>
          <w:lang w:val="en-AU"/>
        </w:rPr>
        <w:t>T</w:t>
      </w:r>
      <w:r w:rsidR="00D7304E" w:rsidRPr="00391D31">
        <w:rPr>
          <w:rFonts w:cs="Arial"/>
          <w:lang w:val="en-AU"/>
        </w:rPr>
        <w:t>he</w:t>
      </w:r>
      <w:r w:rsidR="002B4C52" w:rsidRPr="00391D31">
        <w:rPr>
          <w:rFonts w:cs="Arial"/>
          <w:lang w:val="en-AU"/>
        </w:rPr>
        <w:t xml:space="preserve"> data</w:t>
      </w:r>
      <w:r w:rsidR="00D7304E" w:rsidRPr="00391D31">
        <w:rPr>
          <w:rFonts w:cs="Arial"/>
          <w:lang w:val="en-AU"/>
        </w:rPr>
        <w:t xml:space="preserve"> challenge is to move to the next level of analysis</w:t>
      </w:r>
      <w:r w:rsidR="00383FB1" w:rsidRPr="00391D31">
        <w:rPr>
          <w:rFonts w:cs="Arial"/>
          <w:lang w:val="en-AU"/>
        </w:rPr>
        <w:t xml:space="preserve"> to </w:t>
      </w:r>
      <w:r w:rsidR="00D7304E" w:rsidRPr="00391D31">
        <w:rPr>
          <w:rFonts w:cs="Arial"/>
          <w:lang w:val="en-AU"/>
        </w:rPr>
        <w:t>build evidence on the relationship between participation in quality preschool and improved outcomes for children, particularly for vulnerable populations such as Indigenous children.</w:t>
      </w:r>
      <w:r w:rsidR="00383FB1" w:rsidRPr="00391D31">
        <w:rPr>
          <w:rFonts w:cs="Arial"/>
          <w:lang w:val="en-AU"/>
        </w:rPr>
        <w:t xml:space="preserve"> </w:t>
      </w:r>
      <w:r w:rsidR="004D7D35" w:rsidRPr="00391D31">
        <w:rPr>
          <w:rFonts w:cs="Arial"/>
          <w:lang w:val="en-AU"/>
        </w:rPr>
        <w:t xml:space="preserve">The innovation challenge is to find ways </w:t>
      </w:r>
      <w:r w:rsidR="00391D31">
        <w:rPr>
          <w:rFonts w:cs="Arial"/>
          <w:lang w:val="en-AU"/>
        </w:rPr>
        <w:t>to</w:t>
      </w:r>
      <w:r w:rsidR="004D7D35" w:rsidRPr="00391D31">
        <w:rPr>
          <w:rFonts w:cs="Arial"/>
          <w:lang w:val="en-AU"/>
        </w:rPr>
        <w:t xml:space="preserve"> </w:t>
      </w:r>
      <w:r w:rsidR="00391D31">
        <w:rPr>
          <w:rFonts w:cs="Arial"/>
          <w:lang w:val="en-AU"/>
        </w:rPr>
        <w:t>increase</w:t>
      </w:r>
      <w:r w:rsidR="002B4C52" w:rsidRPr="00391D31">
        <w:rPr>
          <w:rFonts w:cs="Arial"/>
          <w:lang w:val="en-AU"/>
        </w:rPr>
        <w:t xml:space="preserve"> </w:t>
      </w:r>
      <w:r w:rsidR="004D7D35" w:rsidRPr="00391D31">
        <w:rPr>
          <w:rFonts w:cs="Arial"/>
          <w:lang w:val="en-AU"/>
        </w:rPr>
        <w:t xml:space="preserve">the </w:t>
      </w:r>
      <w:r w:rsidR="002B4C52" w:rsidRPr="00391D31">
        <w:rPr>
          <w:rFonts w:cs="Arial"/>
          <w:lang w:val="en-AU"/>
        </w:rPr>
        <w:t xml:space="preserve">participation </w:t>
      </w:r>
      <w:r w:rsidR="004D7D35" w:rsidRPr="00391D31">
        <w:rPr>
          <w:rFonts w:cs="Arial"/>
          <w:lang w:val="en-AU"/>
        </w:rPr>
        <w:t xml:space="preserve">in quality preschool by the </w:t>
      </w:r>
      <w:r w:rsidR="002B4C52" w:rsidRPr="00391D31">
        <w:rPr>
          <w:rFonts w:cs="Arial"/>
          <w:lang w:val="en-AU"/>
        </w:rPr>
        <w:t>more disadvantaged children</w:t>
      </w:r>
      <w:r w:rsidR="004D7D35" w:rsidRPr="00391D31">
        <w:rPr>
          <w:rFonts w:cs="Arial"/>
          <w:lang w:val="en-AU"/>
        </w:rPr>
        <w:t xml:space="preserve"> and their families and sharing learnings</w:t>
      </w:r>
      <w:r w:rsidR="00DA4370" w:rsidRPr="00391D31">
        <w:rPr>
          <w:rFonts w:cs="Arial"/>
          <w:lang w:val="en-AU"/>
        </w:rPr>
        <w:t>.</w:t>
      </w:r>
      <w:r w:rsidR="004D7D35" w:rsidRPr="00391D31">
        <w:rPr>
          <w:rFonts w:cs="Arial"/>
          <w:lang w:val="en-AU"/>
        </w:rPr>
        <w:t xml:space="preserve"> </w:t>
      </w:r>
    </w:p>
    <w:p w14:paraId="4967A1FF" w14:textId="77777777" w:rsidR="004D7D35" w:rsidRPr="00391D31" w:rsidRDefault="004D7D35" w:rsidP="004D7D35">
      <w:pPr>
        <w:rPr>
          <w:rFonts w:cs="Arial"/>
          <w:lang w:val="en-AU"/>
        </w:rPr>
      </w:pPr>
    </w:p>
    <w:p w14:paraId="27BE9FFC" w14:textId="77777777" w:rsidR="00BA4A47" w:rsidRPr="00391D31" w:rsidRDefault="008B67D2" w:rsidP="00D7304E">
      <w:pPr>
        <w:rPr>
          <w:rFonts w:cs="Arial"/>
          <w:lang w:val="en-AU"/>
        </w:rPr>
      </w:pPr>
      <w:r w:rsidRPr="00391D31">
        <w:rPr>
          <w:rFonts w:cs="Arial"/>
          <w:lang w:val="en-AU"/>
        </w:rPr>
        <w:t xml:space="preserve">This is particularly important if preschool is to reach the most disadvantaged children and if </w:t>
      </w:r>
      <w:r w:rsidR="00A75D52" w:rsidRPr="00391D31">
        <w:rPr>
          <w:rFonts w:cs="Arial"/>
          <w:lang w:val="en-AU"/>
        </w:rPr>
        <w:t xml:space="preserve">we </w:t>
      </w:r>
      <w:r w:rsidRPr="00391D31">
        <w:rPr>
          <w:rFonts w:cs="Arial"/>
          <w:lang w:val="en-AU"/>
        </w:rPr>
        <w:t xml:space="preserve">want the system to improve </w:t>
      </w:r>
      <w:r w:rsidRPr="00391D31">
        <w:rPr>
          <w:rFonts w:cs="Arial"/>
          <w:color w:val="000000" w:themeColor="text1"/>
          <w:lang w:val="en-AU"/>
        </w:rPr>
        <w:t xml:space="preserve">to </w:t>
      </w:r>
      <w:r w:rsidR="00A75D52" w:rsidRPr="00391D31">
        <w:rPr>
          <w:rFonts w:cs="Arial"/>
          <w:color w:val="000000" w:themeColor="text1"/>
          <w:lang w:val="en-AU"/>
        </w:rPr>
        <w:t xml:space="preserve">better </w:t>
      </w:r>
      <w:r w:rsidRPr="00391D31">
        <w:rPr>
          <w:rFonts w:cs="Arial"/>
          <w:color w:val="000000" w:themeColor="text1"/>
          <w:lang w:val="en-AU"/>
        </w:rPr>
        <w:t>meet the needs of parents</w:t>
      </w:r>
      <w:r w:rsidR="00372F09" w:rsidRPr="00391D31">
        <w:rPr>
          <w:rFonts w:cs="Arial"/>
          <w:color w:val="000000" w:themeColor="text1"/>
          <w:lang w:val="en-AU"/>
        </w:rPr>
        <w:t>.</w:t>
      </w:r>
      <w:r w:rsidRPr="00391D31">
        <w:rPr>
          <w:rFonts w:cs="Arial"/>
          <w:color w:val="000000" w:themeColor="text1"/>
          <w:lang w:val="en-AU"/>
        </w:rPr>
        <w:t xml:space="preserve"> </w:t>
      </w:r>
      <w:r w:rsidR="00A75D52" w:rsidRPr="00391D31">
        <w:rPr>
          <w:rFonts w:cs="Arial"/>
          <w:lang w:val="en-AU"/>
        </w:rPr>
        <w:t xml:space="preserve"> In this respect, there is still a long way to go in Australia for parents, particularly parents of the most disadvantaged and vulnerable children, </w:t>
      </w:r>
      <w:r w:rsidR="007920C4" w:rsidRPr="00391D31">
        <w:rPr>
          <w:rFonts w:cs="Arial"/>
          <w:lang w:val="en-AU"/>
        </w:rPr>
        <w:t xml:space="preserve">to understand the vital importance of preschool and that </w:t>
      </w:r>
      <w:r w:rsidR="00A75D52" w:rsidRPr="00391D31">
        <w:rPr>
          <w:rFonts w:cs="Arial"/>
          <w:lang w:val="en-AU"/>
        </w:rPr>
        <w:t xml:space="preserve">early learning has </w:t>
      </w:r>
      <w:r w:rsidR="007920C4" w:rsidRPr="00391D31">
        <w:rPr>
          <w:rFonts w:cs="Arial"/>
          <w:lang w:val="en-AU"/>
        </w:rPr>
        <w:t>an essential</w:t>
      </w:r>
      <w:r w:rsidR="00A75D52" w:rsidRPr="00391D31">
        <w:rPr>
          <w:rFonts w:cs="Arial"/>
          <w:lang w:val="en-AU"/>
        </w:rPr>
        <w:t xml:space="preserve"> role in supporting the cognitive, emotional, </w:t>
      </w:r>
      <w:r w:rsidR="007920C4" w:rsidRPr="00391D31">
        <w:rPr>
          <w:rFonts w:cs="Arial"/>
          <w:lang w:val="en-AU"/>
        </w:rPr>
        <w:t xml:space="preserve">and </w:t>
      </w:r>
      <w:r w:rsidR="00A75D52" w:rsidRPr="00391D31">
        <w:rPr>
          <w:rFonts w:cs="Arial"/>
          <w:lang w:val="en-AU"/>
        </w:rPr>
        <w:t xml:space="preserve">physical development of their children and </w:t>
      </w:r>
      <w:r w:rsidR="00372F09" w:rsidRPr="00391D31">
        <w:rPr>
          <w:rFonts w:cs="Arial"/>
          <w:lang w:val="en-AU"/>
        </w:rPr>
        <w:t xml:space="preserve">in </w:t>
      </w:r>
      <w:r w:rsidR="00A75D52" w:rsidRPr="00391D31">
        <w:rPr>
          <w:rFonts w:cs="Arial"/>
          <w:lang w:val="en-AU"/>
        </w:rPr>
        <w:t xml:space="preserve">preparing them for school. </w:t>
      </w:r>
    </w:p>
    <w:p w14:paraId="570C530C" w14:textId="77777777" w:rsidR="00BA4A47" w:rsidRPr="00391D31" w:rsidRDefault="00BA4A47" w:rsidP="00E021BF">
      <w:pPr>
        <w:rPr>
          <w:rFonts w:cs="Arial"/>
          <w:lang w:val="en-AU"/>
        </w:rPr>
      </w:pPr>
    </w:p>
    <w:p w14:paraId="0EDADEA9" w14:textId="77777777" w:rsidR="004E5F9A" w:rsidRPr="00391D31" w:rsidRDefault="00A75D52" w:rsidP="00E021BF">
      <w:pPr>
        <w:rPr>
          <w:rFonts w:cs="Arial"/>
          <w:lang w:val="en-AU"/>
        </w:rPr>
      </w:pPr>
      <w:r w:rsidRPr="00391D31">
        <w:rPr>
          <w:rFonts w:cs="Arial"/>
          <w:lang w:val="en-AU"/>
        </w:rPr>
        <w:t xml:space="preserve">Such a fund, provided it has collaborative Commonwealth/State oversight and engagement, could be a long term game changer. </w:t>
      </w:r>
      <w:r w:rsidR="007920C4" w:rsidRPr="00391D31">
        <w:rPr>
          <w:rFonts w:cs="Arial"/>
          <w:lang w:val="en-AU"/>
        </w:rPr>
        <w:t>The fund could operate successfully</w:t>
      </w:r>
      <w:r w:rsidR="004E5F9A" w:rsidRPr="00391D31">
        <w:rPr>
          <w:rFonts w:cs="Arial"/>
          <w:lang w:val="en-AU"/>
        </w:rPr>
        <w:t xml:space="preserve"> with a similarly relatively low level of funding, </w:t>
      </w:r>
      <w:r w:rsidR="00B654CD" w:rsidRPr="00391D31">
        <w:rPr>
          <w:rFonts w:cs="Arial"/>
          <w:lang w:val="en-AU"/>
        </w:rPr>
        <w:t>supported</w:t>
      </w:r>
      <w:r w:rsidR="004E5F9A" w:rsidRPr="00391D31">
        <w:rPr>
          <w:rFonts w:cs="Arial"/>
          <w:lang w:val="en-AU"/>
        </w:rPr>
        <w:t xml:space="preserve"> by a clear commitment from governments to collaborate with each other and with relevant researchers and </w:t>
      </w:r>
      <w:r w:rsidR="007920C4" w:rsidRPr="00391D31">
        <w:rPr>
          <w:rFonts w:cs="Arial"/>
          <w:lang w:val="en-AU"/>
        </w:rPr>
        <w:t>re</w:t>
      </w:r>
      <w:r w:rsidR="004E5F9A" w:rsidRPr="00391D31">
        <w:rPr>
          <w:rFonts w:cs="Arial"/>
          <w:lang w:val="en-AU"/>
        </w:rPr>
        <w:t>presentatives of those delivering preschool services to design and oversee a forward research and analysis plan, with appropriate publications for public access to the resulting information and data.</w:t>
      </w:r>
    </w:p>
    <w:p w14:paraId="7D9CB110" w14:textId="77777777" w:rsidR="00772D3C" w:rsidRPr="00391D31" w:rsidRDefault="00772D3C" w:rsidP="00E021BF">
      <w:pPr>
        <w:rPr>
          <w:rFonts w:cs="Arial"/>
          <w:lang w:val="en-AU"/>
        </w:rPr>
      </w:pPr>
    </w:p>
    <w:p w14:paraId="7F41B170" w14:textId="77777777" w:rsidR="00CD2D76" w:rsidRPr="00E258F7" w:rsidRDefault="00CD2D76" w:rsidP="00E258F7">
      <w:pPr>
        <w:ind w:left="426"/>
        <w:rPr>
          <w:rFonts w:cs="Arial"/>
          <w:b/>
          <w:sz w:val="28"/>
          <w:lang w:val="en-AU"/>
        </w:rPr>
      </w:pPr>
      <w:r w:rsidRPr="00E258F7">
        <w:rPr>
          <w:rFonts w:cs="Arial"/>
          <w:b/>
          <w:sz w:val="28"/>
          <w:lang w:val="en-AU"/>
        </w:rPr>
        <w:t>Conclusion</w:t>
      </w:r>
    </w:p>
    <w:p w14:paraId="164114FE" w14:textId="77777777" w:rsidR="00CD2D76" w:rsidRPr="00391D31" w:rsidRDefault="00CD2D76" w:rsidP="00E021BF">
      <w:pPr>
        <w:rPr>
          <w:rFonts w:cs="Arial"/>
          <w:lang w:val="en-AU"/>
        </w:rPr>
      </w:pPr>
    </w:p>
    <w:p w14:paraId="59CF1F20" w14:textId="77777777" w:rsidR="00CD2D76" w:rsidRPr="00391D31" w:rsidRDefault="00CD2D76" w:rsidP="00E021BF">
      <w:pPr>
        <w:rPr>
          <w:rFonts w:cs="Arial"/>
          <w:lang w:val="en-AU"/>
        </w:rPr>
      </w:pPr>
      <w:r w:rsidRPr="00391D31">
        <w:rPr>
          <w:rFonts w:cs="Arial"/>
          <w:lang w:val="en-AU"/>
        </w:rPr>
        <w:t>This submission has been prepared as a contribu</w:t>
      </w:r>
      <w:r w:rsidR="000F22DA" w:rsidRPr="00391D31">
        <w:rPr>
          <w:rFonts w:cs="Arial"/>
          <w:lang w:val="en-AU"/>
        </w:rPr>
        <w:t>tion to this important Review, c</w:t>
      </w:r>
      <w:r w:rsidRPr="00391D31">
        <w:rPr>
          <w:rFonts w:cs="Arial"/>
          <w:lang w:val="en-AU"/>
        </w:rPr>
        <w:t xml:space="preserve">oncentrating on issues that we feel are both important and </w:t>
      </w:r>
      <w:r w:rsidR="00383FB1" w:rsidRPr="00391D31">
        <w:rPr>
          <w:rFonts w:cs="Arial"/>
          <w:lang w:val="en-AU"/>
        </w:rPr>
        <w:t xml:space="preserve">sometimes overlooked. </w:t>
      </w:r>
      <w:r w:rsidRPr="00391D31">
        <w:rPr>
          <w:rFonts w:cs="Arial"/>
          <w:lang w:val="en-AU"/>
        </w:rPr>
        <w:t xml:space="preserve">We look forward to the Review undertaking and publishing a comprehensive and robust picture of the current early childhood education system in Australia, its trends and future challenges. </w:t>
      </w:r>
      <w:r w:rsidR="000F22DA" w:rsidRPr="00391D31">
        <w:rPr>
          <w:rFonts w:cs="Arial"/>
          <w:lang w:val="en-AU"/>
        </w:rPr>
        <w:t xml:space="preserve">We also look forward to the Review making forward-looking and ambitious recommendations. </w:t>
      </w:r>
      <w:r w:rsidRPr="00391D31">
        <w:rPr>
          <w:rFonts w:cs="Arial"/>
          <w:lang w:val="en-AU"/>
        </w:rPr>
        <w:t xml:space="preserve">This work is crucial to </w:t>
      </w:r>
      <w:r w:rsidR="000F22DA" w:rsidRPr="00391D31">
        <w:rPr>
          <w:rFonts w:cs="Arial"/>
          <w:lang w:val="en-AU"/>
        </w:rPr>
        <w:t>enable</w:t>
      </w:r>
      <w:r w:rsidRPr="00391D31">
        <w:rPr>
          <w:rFonts w:cs="Arial"/>
          <w:lang w:val="en-AU"/>
        </w:rPr>
        <w:t xml:space="preserve"> all governments – especially </w:t>
      </w:r>
      <w:r w:rsidR="000F22DA" w:rsidRPr="00391D31">
        <w:rPr>
          <w:rFonts w:cs="Arial"/>
          <w:lang w:val="en-AU"/>
        </w:rPr>
        <w:t>the Commonwealth Gov</w:t>
      </w:r>
      <w:r w:rsidRPr="00391D31">
        <w:rPr>
          <w:rFonts w:cs="Arial"/>
          <w:lang w:val="en-AU"/>
        </w:rPr>
        <w:t xml:space="preserve">ernment – </w:t>
      </w:r>
      <w:r w:rsidR="00BF7355" w:rsidRPr="00391D31">
        <w:rPr>
          <w:rFonts w:cs="Arial"/>
          <w:lang w:val="en-AU"/>
        </w:rPr>
        <w:t xml:space="preserve">to </w:t>
      </w:r>
      <w:r w:rsidRPr="00391D31">
        <w:rPr>
          <w:rFonts w:cs="Arial"/>
          <w:lang w:val="en-AU"/>
        </w:rPr>
        <w:t xml:space="preserve">make </w:t>
      </w:r>
      <w:r w:rsidR="000F22DA" w:rsidRPr="00391D31">
        <w:rPr>
          <w:rFonts w:cs="Arial"/>
          <w:lang w:val="en-AU"/>
        </w:rPr>
        <w:t xml:space="preserve">sound </w:t>
      </w:r>
      <w:r w:rsidRPr="00391D31">
        <w:rPr>
          <w:rFonts w:cs="Arial"/>
          <w:lang w:val="en-AU"/>
        </w:rPr>
        <w:t xml:space="preserve">decisions about the future funding, design and delivery of early childhood education in Australia. Such decisions matter greatly not only to young children and their families now, but </w:t>
      </w:r>
      <w:r w:rsidR="00322FE0" w:rsidRPr="00391D31">
        <w:rPr>
          <w:rFonts w:cs="Arial"/>
          <w:lang w:val="en-AU"/>
        </w:rPr>
        <w:t>to f</w:t>
      </w:r>
      <w:r w:rsidR="000F22DA" w:rsidRPr="00391D31">
        <w:rPr>
          <w:rFonts w:cs="Arial"/>
          <w:lang w:val="en-AU"/>
        </w:rPr>
        <w:t xml:space="preserve">uture generations’ </w:t>
      </w:r>
      <w:r w:rsidRPr="00391D31">
        <w:rPr>
          <w:rFonts w:cs="Arial"/>
          <w:lang w:val="en-AU"/>
        </w:rPr>
        <w:t xml:space="preserve">capacity to thrive and respond to </w:t>
      </w:r>
      <w:r w:rsidR="000F22DA" w:rsidRPr="00391D31">
        <w:rPr>
          <w:rFonts w:cs="Arial"/>
          <w:lang w:val="en-AU"/>
        </w:rPr>
        <w:t xml:space="preserve">the many </w:t>
      </w:r>
      <w:r w:rsidRPr="00391D31">
        <w:rPr>
          <w:rFonts w:cs="Arial"/>
          <w:lang w:val="en-AU"/>
        </w:rPr>
        <w:t>challenges</w:t>
      </w:r>
      <w:r w:rsidR="000F22DA" w:rsidRPr="00391D31">
        <w:rPr>
          <w:rFonts w:cs="Arial"/>
          <w:lang w:val="en-AU"/>
        </w:rPr>
        <w:t xml:space="preserve"> they will no doubt face over the balance of the twenty-first century.</w:t>
      </w:r>
    </w:p>
    <w:p w14:paraId="79E9FA12" w14:textId="77777777" w:rsidR="002B4C52" w:rsidRPr="00391D31" w:rsidRDefault="002B4C52" w:rsidP="00E021BF">
      <w:pPr>
        <w:rPr>
          <w:rFonts w:cs="Arial"/>
          <w:lang w:val="en-AU"/>
        </w:rPr>
      </w:pPr>
    </w:p>
    <w:p w14:paraId="202B7083" w14:textId="77777777" w:rsidR="002B4C52" w:rsidRPr="00391D31" w:rsidRDefault="002B4C52" w:rsidP="00E021BF">
      <w:pPr>
        <w:rPr>
          <w:rFonts w:cs="Arial"/>
          <w:lang w:val="en-AU"/>
        </w:rPr>
      </w:pPr>
    </w:p>
    <w:p w14:paraId="3D8821B0" w14:textId="77777777" w:rsidR="002B4C52" w:rsidRDefault="002B4C52" w:rsidP="00E021BF">
      <w:pPr>
        <w:rPr>
          <w:rFonts w:cs="Arial"/>
          <w:lang w:val="en-AU"/>
        </w:rPr>
      </w:pPr>
    </w:p>
    <w:p w14:paraId="2A813D72" w14:textId="77777777" w:rsidR="00391D31" w:rsidRPr="00391D31" w:rsidRDefault="00391D31" w:rsidP="00E021BF">
      <w:pPr>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gridCol w:w="3298"/>
      </w:tblGrid>
      <w:tr w:rsidR="00391D31" w:rsidRPr="00391D31" w14:paraId="45AB6DED" w14:textId="77777777" w:rsidTr="00391D31">
        <w:tc>
          <w:tcPr>
            <w:tcW w:w="3297" w:type="dxa"/>
            <w:shd w:val="clear" w:color="auto" w:fill="auto"/>
          </w:tcPr>
          <w:p w14:paraId="3B1F1675" w14:textId="77777777" w:rsidR="00CA3223" w:rsidRPr="00391D31" w:rsidRDefault="00CA3223" w:rsidP="00E021BF">
            <w:pPr>
              <w:rPr>
                <w:rFonts w:cs="Arial"/>
                <w:szCs w:val="22"/>
                <w:lang w:val="en-AU"/>
              </w:rPr>
            </w:pPr>
            <w:r w:rsidRPr="00391D31">
              <w:rPr>
                <w:rFonts w:cs="Arial"/>
                <w:szCs w:val="22"/>
                <w:lang w:val="en-AU"/>
              </w:rPr>
              <w:t xml:space="preserve">Dr Russell Ayres </w:t>
            </w:r>
          </w:p>
          <w:p w14:paraId="32AD4A64" w14:textId="77777777" w:rsidR="002B4C52" w:rsidRPr="00E258F7" w:rsidRDefault="005161FF" w:rsidP="00E021BF">
            <w:pPr>
              <w:rPr>
                <w:rFonts w:cs="Arial"/>
                <w:sz w:val="22"/>
                <w:szCs w:val="22"/>
                <w:lang w:val="en-AU"/>
              </w:rPr>
            </w:pPr>
            <w:r w:rsidRPr="00E258F7">
              <w:rPr>
                <w:rFonts w:cs="Arial"/>
                <w:sz w:val="22"/>
                <w:szCs w:val="22"/>
                <w:lang w:val="en-AU"/>
              </w:rPr>
              <w:t>Adjunct Associate Professor</w:t>
            </w:r>
          </w:p>
          <w:p w14:paraId="3D0BA789" w14:textId="77777777" w:rsidR="002B4C52" w:rsidRPr="00E258F7" w:rsidRDefault="002B4C52" w:rsidP="00E021BF">
            <w:pPr>
              <w:rPr>
                <w:rFonts w:cs="Arial"/>
                <w:sz w:val="22"/>
                <w:szCs w:val="22"/>
                <w:lang w:val="en-AU"/>
              </w:rPr>
            </w:pPr>
            <w:r w:rsidRPr="00E258F7">
              <w:rPr>
                <w:rFonts w:cs="Arial"/>
                <w:sz w:val="22"/>
                <w:szCs w:val="22"/>
                <w:lang w:val="en-AU"/>
              </w:rPr>
              <w:t>Institute for Governance and Policy Analysis</w:t>
            </w:r>
          </w:p>
          <w:p w14:paraId="0326F802" w14:textId="77777777" w:rsidR="00CA3223" w:rsidRPr="00391D31" w:rsidRDefault="002B4C52" w:rsidP="00E021BF">
            <w:pPr>
              <w:rPr>
                <w:rFonts w:cs="Arial"/>
                <w:szCs w:val="22"/>
                <w:lang w:val="en-AU"/>
              </w:rPr>
            </w:pPr>
            <w:r w:rsidRPr="00E258F7">
              <w:rPr>
                <w:rFonts w:cs="Arial"/>
                <w:sz w:val="22"/>
                <w:szCs w:val="22"/>
                <w:lang w:val="en-AU"/>
              </w:rPr>
              <w:t>University of Canberra</w:t>
            </w:r>
          </w:p>
        </w:tc>
        <w:tc>
          <w:tcPr>
            <w:tcW w:w="3298" w:type="dxa"/>
            <w:shd w:val="clear" w:color="auto" w:fill="auto"/>
          </w:tcPr>
          <w:p w14:paraId="090511E9" w14:textId="77777777" w:rsidR="002B4C52" w:rsidRPr="00391D31" w:rsidRDefault="005161FF" w:rsidP="002B4C52">
            <w:pPr>
              <w:outlineLvl w:val="0"/>
              <w:rPr>
                <w:rFonts w:cs="Arial"/>
                <w:szCs w:val="22"/>
                <w:lang w:val="en-AU"/>
              </w:rPr>
            </w:pPr>
            <w:r w:rsidRPr="00391D31">
              <w:rPr>
                <w:rFonts w:cs="Arial"/>
                <w:szCs w:val="22"/>
                <w:lang w:val="en-AU"/>
              </w:rPr>
              <w:t>Dr Wendy Jarvie</w:t>
            </w:r>
          </w:p>
          <w:p w14:paraId="228CDF6E" w14:textId="77777777" w:rsidR="005161FF" w:rsidRPr="00E258F7" w:rsidRDefault="005161FF" w:rsidP="002B4C52">
            <w:pPr>
              <w:outlineLvl w:val="0"/>
              <w:rPr>
                <w:rFonts w:cs="Arial"/>
                <w:sz w:val="22"/>
                <w:szCs w:val="22"/>
                <w:lang w:val="en-AU"/>
              </w:rPr>
            </w:pPr>
            <w:r w:rsidRPr="00E258F7">
              <w:rPr>
                <w:rFonts w:cs="Arial"/>
                <w:sz w:val="22"/>
                <w:szCs w:val="22"/>
                <w:lang w:val="en-AU"/>
              </w:rPr>
              <w:t>Adjunct Professor</w:t>
            </w:r>
          </w:p>
          <w:p w14:paraId="116449E2" w14:textId="77777777" w:rsidR="002B4C52" w:rsidRPr="00E258F7" w:rsidRDefault="002B4C52" w:rsidP="002B4C52">
            <w:pPr>
              <w:outlineLvl w:val="0"/>
              <w:rPr>
                <w:rFonts w:cs="Arial"/>
                <w:sz w:val="22"/>
                <w:szCs w:val="22"/>
                <w:lang w:val="en-AU"/>
              </w:rPr>
            </w:pPr>
            <w:r w:rsidRPr="00E258F7">
              <w:rPr>
                <w:rFonts w:cs="Arial"/>
                <w:sz w:val="22"/>
                <w:szCs w:val="22"/>
                <w:lang w:val="en-AU"/>
              </w:rPr>
              <w:t>Public Sector Research Group, School of Business</w:t>
            </w:r>
          </w:p>
          <w:p w14:paraId="4F731FE8" w14:textId="77777777" w:rsidR="002B4C52" w:rsidRPr="00E258F7" w:rsidRDefault="002B4C52" w:rsidP="002B4C52">
            <w:pPr>
              <w:outlineLvl w:val="0"/>
              <w:rPr>
                <w:rFonts w:cs="Arial"/>
                <w:sz w:val="22"/>
                <w:szCs w:val="22"/>
                <w:lang w:val="en-AU"/>
              </w:rPr>
            </w:pPr>
            <w:r w:rsidRPr="00E258F7">
              <w:rPr>
                <w:rFonts w:cs="Arial"/>
                <w:sz w:val="22"/>
                <w:szCs w:val="22"/>
                <w:lang w:val="en-AU"/>
              </w:rPr>
              <w:t>University of NSW Canberra</w:t>
            </w:r>
          </w:p>
          <w:p w14:paraId="0E9BDD57" w14:textId="77777777" w:rsidR="00CA3223" w:rsidRPr="00391D31" w:rsidRDefault="00CA3223" w:rsidP="00E021BF">
            <w:pPr>
              <w:rPr>
                <w:rFonts w:cs="Arial"/>
                <w:szCs w:val="22"/>
                <w:lang w:val="en-AU"/>
              </w:rPr>
            </w:pPr>
          </w:p>
        </w:tc>
        <w:tc>
          <w:tcPr>
            <w:tcW w:w="3298" w:type="dxa"/>
            <w:shd w:val="clear" w:color="auto" w:fill="auto"/>
          </w:tcPr>
          <w:p w14:paraId="0C870A81" w14:textId="77777777" w:rsidR="002B4C52" w:rsidRPr="00391D31" w:rsidRDefault="00CA3223" w:rsidP="002B4C52">
            <w:pPr>
              <w:rPr>
                <w:rFonts w:cs="Arial"/>
                <w:szCs w:val="22"/>
                <w:lang w:val="en-AU"/>
              </w:rPr>
            </w:pPr>
            <w:r w:rsidRPr="00391D31">
              <w:rPr>
                <w:rFonts w:cs="Arial"/>
                <w:szCs w:val="22"/>
                <w:lang w:val="en-AU"/>
              </w:rPr>
              <w:t>Dr Trish Mercer</w:t>
            </w:r>
            <w:r w:rsidR="002B4C52" w:rsidRPr="00391D31">
              <w:rPr>
                <w:rFonts w:cs="Arial"/>
                <w:szCs w:val="22"/>
                <w:lang w:val="en-AU"/>
              </w:rPr>
              <w:t xml:space="preserve"> </w:t>
            </w:r>
          </w:p>
          <w:p w14:paraId="383B3BE9" w14:textId="4AC51246" w:rsidR="002B4C52" w:rsidRPr="00E258F7" w:rsidRDefault="0039013E" w:rsidP="002B4C52">
            <w:pPr>
              <w:rPr>
                <w:rFonts w:cs="Arial"/>
                <w:sz w:val="22"/>
                <w:szCs w:val="22"/>
                <w:lang w:val="en-AU"/>
              </w:rPr>
            </w:pPr>
            <w:r>
              <w:rPr>
                <w:rFonts w:cs="Arial"/>
                <w:sz w:val="22"/>
                <w:szCs w:val="22"/>
                <w:lang w:val="en-AU"/>
              </w:rPr>
              <w:t xml:space="preserve">The </w:t>
            </w:r>
            <w:r w:rsidR="002B4C52" w:rsidRPr="00E258F7">
              <w:rPr>
                <w:rFonts w:cs="Arial"/>
                <w:sz w:val="22"/>
                <w:szCs w:val="22"/>
                <w:lang w:val="en-AU"/>
              </w:rPr>
              <w:t>Australia and New Zealand School of Government,</w:t>
            </w:r>
          </w:p>
          <w:p w14:paraId="53763DF9" w14:textId="77777777" w:rsidR="002B4C52" w:rsidRDefault="002B4C52" w:rsidP="002B4C52">
            <w:pPr>
              <w:rPr>
                <w:rFonts w:cs="Arial"/>
                <w:sz w:val="22"/>
                <w:szCs w:val="22"/>
                <w:lang w:val="en-AU"/>
              </w:rPr>
            </w:pPr>
            <w:r w:rsidRPr="00E258F7">
              <w:rPr>
                <w:rFonts w:cs="Arial"/>
                <w:sz w:val="22"/>
                <w:szCs w:val="22"/>
                <w:lang w:val="en-AU"/>
              </w:rPr>
              <w:t xml:space="preserve">Australian National University </w:t>
            </w:r>
          </w:p>
          <w:p w14:paraId="055ADCED" w14:textId="09DA2D3E" w:rsidR="0039013E" w:rsidRPr="00E258F7" w:rsidRDefault="0039013E" w:rsidP="002B4C52">
            <w:pPr>
              <w:rPr>
                <w:rFonts w:cs="Arial"/>
                <w:sz w:val="22"/>
                <w:szCs w:val="22"/>
                <w:lang w:val="en-AU"/>
              </w:rPr>
            </w:pPr>
            <w:r>
              <w:rPr>
                <w:rFonts w:cs="Arial"/>
                <w:sz w:val="22"/>
                <w:szCs w:val="22"/>
                <w:lang w:val="en-AU"/>
              </w:rPr>
              <w:t>Canberra</w:t>
            </w:r>
          </w:p>
          <w:p w14:paraId="7A345B9C" w14:textId="77777777" w:rsidR="00CA3223" w:rsidRPr="00391D31" w:rsidRDefault="00CA3223" w:rsidP="00E021BF">
            <w:pPr>
              <w:rPr>
                <w:rFonts w:cs="Arial"/>
                <w:szCs w:val="22"/>
                <w:lang w:val="en-AU"/>
              </w:rPr>
            </w:pPr>
          </w:p>
        </w:tc>
      </w:tr>
    </w:tbl>
    <w:p w14:paraId="5CA4F97C" w14:textId="77777777" w:rsidR="004C4063" w:rsidRPr="00391D31" w:rsidRDefault="00391D31" w:rsidP="00391D31">
      <w:pPr>
        <w:jc w:val="right"/>
        <w:rPr>
          <w:rFonts w:cs="Arial"/>
          <w:lang w:val="en-AU"/>
        </w:rPr>
      </w:pPr>
      <w:r w:rsidRPr="00391D31">
        <w:rPr>
          <w:rFonts w:cs="Arial"/>
          <w:lang w:val="en-AU"/>
        </w:rPr>
        <w:t>6 October 2019</w:t>
      </w:r>
    </w:p>
    <w:p w14:paraId="4003E276" w14:textId="77777777" w:rsidR="004C4063" w:rsidRPr="00391D31" w:rsidRDefault="004C4063" w:rsidP="00E021BF">
      <w:pPr>
        <w:rPr>
          <w:rFonts w:cs="Arial"/>
          <w:color w:val="FF0000"/>
          <w:lang w:val="en-AU"/>
        </w:rPr>
      </w:pPr>
    </w:p>
    <w:p w14:paraId="7013AF97" w14:textId="77777777" w:rsidR="00391D31" w:rsidRDefault="00391D31">
      <w:pPr>
        <w:rPr>
          <w:rFonts w:cs="Arial"/>
          <w:b/>
          <w:lang w:val="en-AU"/>
        </w:rPr>
      </w:pPr>
      <w:r>
        <w:rPr>
          <w:rFonts w:cs="Arial"/>
          <w:b/>
          <w:lang w:val="en-AU"/>
        </w:rPr>
        <w:br w:type="page"/>
      </w:r>
    </w:p>
    <w:p w14:paraId="3E44352F" w14:textId="77777777" w:rsidR="00F95267" w:rsidRPr="00E258F7" w:rsidRDefault="00F95267" w:rsidP="005161FF">
      <w:pPr>
        <w:jc w:val="center"/>
        <w:rPr>
          <w:rFonts w:cs="Arial"/>
          <w:color w:val="000000" w:themeColor="text1"/>
          <w:sz w:val="28"/>
          <w:lang w:val="en-AU"/>
        </w:rPr>
      </w:pPr>
      <w:r w:rsidRPr="00E258F7">
        <w:rPr>
          <w:rFonts w:cs="Arial"/>
          <w:b/>
          <w:sz w:val="28"/>
          <w:lang w:val="en-AU"/>
        </w:rPr>
        <w:t>References</w:t>
      </w:r>
    </w:p>
    <w:p w14:paraId="59B91354" w14:textId="77777777" w:rsidR="00F95267" w:rsidRPr="00391D31" w:rsidRDefault="00F95267" w:rsidP="00F95267">
      <w:pPr>
        <w:rPr>
          <w:rFonts w:cs="Arial"/>
          <w:b/>
        </w:rPr>
      </w:pPr>
    </w:p>
    <w:p w14:paraId="2C2773C1" w14:textId="77777777" w:rsidR="008D22DA" w:rsidRPr="00391D31" w:rsidRDefault="008D22DA" w:rsidP="00F95267">
      <w:pPr>
        <w:rPr>
          <w:rFonts w:cs="Arial"/>
          <w:sz w:val="22"/>
          <w:szCs w:val="22"/>
        </w:rPr>
      </w:pPr>
      <w:r w:rsidRPr="00391D31">
        <w:rPr>
          <w:rFonts w:cs="Arial"/>
          <w:sz w:val="22"/>
          <w:szCs w:val="22"/>
        </w:rPr>
        <w:t xml:space="preserve">Australian Children’s Education and Care Qualification Authority (ACECQA). 2019. </w:t>
      </w:r>
      <w:r w:rsidRPr="00391D31">
        <w:rPr>
          <w:rFonts w:cs="Arial"/>
          <w:i/>
          <w:sz w:val="22"/>
          <w:szCs w:val="22"/>
        </w:rPr>
        <w:t>NQF Snapshot A quarterly report from the ACECQA</w:t>
      </w:r>
      <w:r w:rsidR="004C4063" w:rsidRPr="00391D31">
        <w:rPr>
          <w:rFonts w:cs="Arial"/>
          <w:sz w:val="22"/>
          <w:szCs w:val="22"/>
        </w:rPr>
        <w:t xml:space="preserve">, </w:t>
      </w:r>
      <w:r w:rsidR="000A74DE" w:rsidRPr="00391D31">
        <w:rPr>
          <w:rFonts w:cs="Arial"/>
          <w:sz w:val="22"/>
          <w:szCs w:val="22"/>
        </w:rPr>
        <w:t>May.</w:t>
      </w:r>
    </w:p>
    <w:p w14:paraId="00907EB8" w14:textId="77777777" w:rsidR="000A74DE" w:rsidRPr="00391D31" w:rsidRDefault="000A74DE" w:rsidP="00F95267">
      <w:pPr>
        <w:rPr>
          <w:rFonts w:cs="Arial"/>
          <w:sz w:val="22"/>
          <w:szCs w:val="22"/>
        </w:rPr>
      </w:pPr>
    </w:p>
    <w:p w14:paraId="425A16E2" w14:textId="34B93CAB" w:rsidR="00F95267" w:rsidRPr="00391D31" w:rsidRDefault="00F95267" w:rsidP="00F95267">
      <w:pPr>
        <w:rPr>
          <w:rFonts w:cs="Arial"/>
          <w:sz w:val="22"/>
          <w:szCs w:val="22"/>
        </w:rPr>
      </w:pPr>
      <w:r w:rsidRPr="00391D31">
        <w:rPr>
          <w:rFonts w:cs="Arial"/>
          <w:sz w:val="22"/>
          <w:szCs w:val="22"/>
        </w:rPr>
        <w:t>Dowling, A and O’Malley, K. 2009. ‘Pr</w:t>
      </w:r>
      <w:r w:rsidR="004C4063" w:rsidRPr="00391D31">
        <w:rPr>
          <w:rFonts w:cs="Arial"/>
          <w:sz w:val="22"/>
          <w:szCs w:val="22"/>
        </w:rPr>
        <w:t xml:space="preserve">eschool education in Australia’. </w:t>
      </w:r>
      <w:r w:rsidR="00217C38">
        <w:rPr>
          <w:rFonts w:cs="Arial"/>
          <w:sz w:val="22"/>
          <w:szCs w:val="22"/>
        </w:rPr>
        <w:t xml:space="preserve">Australian Council for Educational </w:t>
      </w:r>
      <w:bookmarkStart w:id="0" w:name="_GoBack"/>
      <w:bookmarkEnd w:id="0"/>
      <w:r w:rsidRPr="00391D31">
        <w:rPr>
          <w:rFonts w:cs="Arial"/>
          <w:sz w:val="22"/>
          <w:szCs w:val="22"/>
        </w:rPr>
        <w:t>Research, December</w:t>
      </w:r>
      <w:r w:rsidR="004C4063" w:rsidRPr="00391D31">
        <w:rPr>
          <w:rFonts w:cs="Arial"/>
          <w:sz w:val="22"/>
          <w:szCs w:val="22"/>
        </w:rPr>
        <w:t>.</w:t>
      </w:r>
    </w:p>
    <w:p w14:paraId="152CC53B" w14:textId="77777777" w:rsidR="00F95267" w:rsidRPr="00391D31" w:rsidRDefault="00F95267" w:rsidP="00F95267">
      <w:pPr>
        <w:rPr>
          <w:rFonts w:cs="Arial"/>
          <w:sz w:val="22"/>
          <w:szCs w:val="22"/>
        </w:rPr>
      </w:pPr>
    </w:p>
    <w:p w14:paraId="7197214D" w14:textId="77777777" w:rsidR="00F95267" w:rsidRPr="00391D31" w:rsidRDefault="00F95267" w:rsidP="00F95267">
      <w:pPr>
        <w:rPr>
          <w:rFonts w:cs="Arial"/>
          <w:sz w:val="22"/>
          <w:szCs w:val="22"/>
          <w:lang w:val="en-AU"/>
        </w:rPr>
      </w:pPr>
      <w:r w:rsidRPr="00391D31">
        <w:rPr>
          <w:rFonts w:cs="Arial"/>
          <w:sz w:val="22"/>
          <w:szCs w:val="22"/>
        </w:rPr>
        <w:t>Harrington, M. 2008. ‘Preschool education in Australia’. Parliament</w:t>
      </w:r>
      <w:r w:rsidR="004C4063" w:rsidRPr="00391D31">
        <w:rPr>
          <w:rFonts w:cs="Arial"/>
          <w:sz w:val="22"/>
          <w:szCs w:val="22"/>
        </w:rPr>
        <w:t>ary Library of Australia, 9 May</w:t>
      </w:r>
      <w:r w:rsidRPr="00391D31">
        <w:rPr>
          <w:rFonts w:cs="Arial"/>
          <w:sz w:val="22"/>
          <w:szCs w:val="22"/>
        </w:rPr>
        <w:t>.</w:t>
      </w:r>
    </w:p>
    <w:p w14:paraId="4DE58201" w14:textId="77777777" w:rsidR="00F95267" w:rsidRPr="00391D31" w:rsidRDefault="00F95267" w:rsidP="00F95267">
      <w:pPr>
        <w:rPr>
          <w:rFonts w:cs="Arial"/>
          <w:sz w:val="22"/>
          <w:szCs w:val="22"/>
        </w:rPr>
      </w:pPr>
    </w:p>
    <w:p w14:paraId="78B94417" w14:textId="77777777" w:rsidR="00F95267" w:rsidRPr="00391D31" w:rsidRDefault="00F95267" w:rsidP="00F95267">
      <w:pPr>
        <w:rPr>
          <w:rFonts w:cs="Arial"/>
          <w:sz w:val="22"/>
          <w:szCs w:val="22"/>
        </w:rPr>
      </w:pPr>
      <w:r w:rsidRPr="00391D31">
        <w:rPr>
          <w:rFonts w:cs="Arial"/>
          <w:sz w:val="22"/>
          <w:szCs w:val="22"/>
        </w:rPr>
        <w:t xml:space="preserve">Hewitt, B and Walter, M. 2014. ‘Preschool participation among Indigenous children in Australia’, </w:t>
      </w:r>
      <w:r w:rsidRPr="00391D31">
        <w:rPr>
          <w:rFonts w:cs="Arial"/>
          <w:i/>
          <w:sz w:val="22"/>
          <w:szCs w:val="22"/>
        </w:rPr>
        <w:t>Family Matters</w:t>
      </w:r>
      <w:r w:rsidRPr="00391D31">
        <w:rPr>
          <w:rFonts w:cs="Arial"/>
          <w:sz w:val="22"/>
          <w:szCs w:val="22"/>
        </w:rPr>
        <w:t>, No. 95, pp 41-50.</w:t>
      </w:r>
    </w:p>
    <w:p w14:paraId="76761D7D" w14:textId="77777777" w:rsidR="00F95267" w:rsidRPr="00391D31" w:rsidRDefault="00F95267" w:rsidP="00F95267">
      <w:pPr>
        <w:rPr>
          <w:rFonts w:cs="Arial"/>
          <w:sz w:val="22"/>
          <w:szCs w:val="22"/>
        </w:rPr>
      </w:pPr>
    </w:p>
    <w:p w14:paraId="2C563D6C" w14:textId="77777777" w:rsidR="00F95267" w:rsidRPr="00391D31" w:rsidRDefault="00F95267" w:rsidP="00F95267">
      <w:pPr>
        <w:rPr>
          <w:rFonts w:cs="Arial"/>
          <w:sz w:val="22"/>
          <w:szCs w:val="22"/>
        </w:rPr>
      </w:pPr>
      <w:r w:rsidRPr="00391D31">
        <w:rPr>
          <w:rFonts w:cs="Arial"/>
          <w:sz w:val="22"/>
          <w:szCs w:val="22"/>
        </w:rPr>
        <w:t xml:space="preserve">Jackson, J. 2019. ‘Preschool benefits all children, but not all children get it. Here’s what the government can do about that’. </w:t>
      </w:r>
      <w:r w:rsidRPr="00391D31">
        <w:rPr>
          <w:rFonts w:cs="Arial"/>
          <w:i/>
          <w:sz w:val="22"/>
          <w:szCs w:val="22"/>
        </w:rPr>
        <w:t>The Conversation</w:t>
      </w:r>
      <w:r w:rsidRPr="00391D31">
        <w:rPr>
          <w:rFonts w:cs="Arial"/>
          <w:sz w:val="22"/>
          <w:szCs w:val="22"/>
        </w:rPr>
        <w:t>, 4 June. Available at: theconversation.com/preschool-benefits-all-children-but-not-all-children-get-it-heres-what-the-government-can-do-about-that-117660.</w:t>
      </w:r>
    </w:p>
    <w:p w14:paraId="037F1934" w14:textId="77777777" w:rsidR="00F95267" w:rsidRPr="00391D31" w:rsidRDefault="00F95267" w:rsidP="00F95267">
      <w:pPr>
        <w:rPr>
          <w:rFonts w:cs="Arial"/>
          <w:sz w:val="22"/>
          <w:szCs w:val="22"/>
        </w:rPr>
      </w:pPr>
    </w:p>
    <w:p w14:paraId="3DF67F83" w14:textId="77777777" w:rsidR="00F95267" w:rsidRPr="00391D31" w:rsidRDefault="00F95267" w:rsidP="00F95267">
      <w:pPr>
        <w:rPr>
          <w:rFonts w:cs="Arial"/>
          <w:sz w:val="22"/>
          <w:szCs w:val="22"/>
          <w:lang w:val="en-AU"/>
        </w:rPr>
      </w:pPr>
      <w:r w:rsidRPr="00391D31">
        <w:rPr>
          <w:rFonts w:cs="Arial"/>
          <w:sz w:val="22"/>
          <w:szCs w:val="22"/>
          <w:lang w:val="en-AU"/>
        </w:rPr>
        <w:t xml:space="preserve">Luetjens, J, Mintrom, M and ‘t Hart, P. 2019. </w:t>
      </w:r>
      <w:r w:rsidRPr="00391D31">
        <w:rPr>
          <w:rFonts w:cs="Arial"/>
          <w:i/>
          <w:sz w:val="22"/>
          <w:szCs w:val="22"/>
          <w:lang w:val="en-AU"/>
        </w:rPr>
        <w:t>Successful Public Policy Lessons from Australia and New Zealand</w:t>
      </w:r>
      <w:r w:rsidRPr="00391D31">
        <w:rPr>
          <w:rFonts w:cs="Arial"/>
          <w:sz w:val="22"/>
          <w:szCs w:val="22"/>
          <w:lang w:val="en-AU"/>
        </w:rPr>
        <w:t>.</w:t>
      </w:r>
      <w:r w:rsidRPr="00391D31">
        <w:rPr>
          <w:rFonts w:cs="Arial"/>
          <w:i/>
          <w:sz w:val="22"/>
          <w:szCs w:val="22"/>
          <w:lang w:val="en-AU"/>
        </w:rPr>
        <w:t xml:space="preserve"> </w:t>
      </w:r>
      <w:r w:rsidRPr="00391D31">
        <w:rPr>
          <w:rFonts w:cs="Arial"/>
          <w:sz w:val="22"/>
          <w:szCs w:val="22"/>
          <w:lang w:val="en-AU"/>
        </w:rPr>
        <w:t xml:space="preserve">ANU Press and ANZSOG, Acton ACT. </w:t>
      </w:r>
    </w:p>
    <w:p w14:paraId="34869118" w14:textId="77777777" w:rsidR="00F95267" w:rsidRPr="00391D31" w:rsidRDefault="00F95267" w:rsidP="00F95267">
      <w:pPr>
        <w:rPr>
          <w:rFonts w:cs="Arial"/>
          <w:sz w:val="22"/>
          <w:szCs w:val="22"/>
          <w:lang w:val="en-AU"/>
        </w:rPr>
      </w:pPr>
    </w:p>
    <w:p w14:paraId="29790AA8" w14:textId="77777777" w:rsidR="00F95267" w:rsidRPr="00391D31" w:rsidRDefault="00F95267" w:rsidP="00F95267">
      <w:pPr>
        <w:rPr>
          <w:rFonts w:cs="Arial"/>
          <w:sz w:val="22"/>
          <w:szCs w:val="22"/>
        </w:rPr>
      </w:pPr>
      <w:r w:rsidRPr="00391D31">
        <w:rPr>
          <w:rFonts w:cs="Arial"/>
          <w:sz w:val="22"/>
          <w:szCs w:val="22"/>
        </w:rPr>
        <w:t>Manning, M, Garvis, S, Fleming, C and Wong, GTW. 2017. ‘Higher teacher qualifications are associated with higher quality early childhood education and care’. Campbell Collaboration, Education Coordinating Group. Pla</w:t>
      </w:r>
      <w:r w:rsidR="004C4063" w:rsidRPr="00391D31">
        <w:rPr>
          <w:rFonts w:cs="Arial"/>
          <w:sz w:val="22"/>
          <w:szCs w:val="22"/>
        </w:rPr>
        <w:t>in Language Summary, 20 January</w:t>
      </w:r>
      <w:r w:rsidRPr="00391D31">
        <w:rPr>
          <w:rFonts w:cs="Arial"/>
          <w:sz w:val="22"/>
          <w:szCs w:val="22"/>
        </w:rPr>
        <w:t>.</w:t>
      </w:r>
    </w:p>
    <w:p w14:paraId="239A86B4" w14:textId="77777777" w:rsidR="00F95267" w:rsidRPr="00391D31" w:rsidRDefault="00F95267" w:rsidP="00F95267">
      <w:pPr>
        <w:rPr>
          <w:rFonts w:cs="Arial"/>
          <w:sz w:val="22"/>
          <w:szCs w:val="22"/>
        </w:rPr>
      </w:pPr>
    </w:p>
    <w:p w14:paraId="7A2E7FA7" w14:textId="77777777" w:rsidR="008607EE" w:rsidRPr="00391D31" w:rsidRDefault="00391D31" w:rsidP="00F95267">
      <w:pPr>
        <w:rPr>
          <w:rFonts w:cs="Arial"/>
          <w:sz w:val="22"/>
          <w:szCs w:val="22"/>
        </w:rPr>
      </w:pPr>
      <w:r>
        <w:rPr>
          <w:rFonts w:cs="Arial"/>
          <w:sz w:val="22"/>
          <w:szCs w:val="22"/>
        </w:rPr>
        <w:t xml:space="preserve">Melhuish E C. </w:t>
      </w:r>
      <w:r w:rsidR="008607EE" w:rsidRPr="00391D31">
        <w:rPr>
          <w:rFonts w:cs="Arial"/>
          <w:sz w:val="22"/>
          <w:szCs w:val="22"/>
        </w:rPr>
        <w:t xml:space="preserve">2011. </w:t>
      </w:r>
      <w:r w:rsidR="008607EE" w:rsidRPr="00391D31">
        <w:rPr>
          <w:rFonts w:cs="Arial"/>
          <w:i/>
          <w:sz w:val="22"/>
          <w:szCs w:val="22"/>
        </w:rPr>
        <w:t>Preschool Matters</w:t>
      </w:r>
      <w:r w:rsidR="008607EE" w:rsidRPr="00391D31">
        <w:rPr>
          <w:rFonts w:cs="Arial"/>
          <w:sz w:val="22"/>
          <w:szCs w:val="22"/>
        </w:rPr>
        <w:t>, Science 333, 299 DOI: 10.1126/science.1209459</w:t>
      </w:r>
    </w:p>
    <w:p w14:paraId="64E428D2" w14:textId="77777777" w:rsidR="008607EE" w:rsidRPr="00391D31" w:rsidRDefault="008607EE" w:rsidP="00F95267">
      <w:pPr>
        <w:rPr>
          <w:rFonts w:cs="Arial"/>
          <w:sz w:val="22"/>
          <w:szCs w:val="22"/>
        </w:rPr>
      </w:pPr>
    </w:p>
    <w:p w14:paraId="1FFEE392" w14:textId="77777777" w:rsidR="00F95267" w:rsidRPr="00391D31" w:rsidRDefault="00F95267" w:rsidP="00F95267">
      <w:pPr>
        <w:rPr>
          <w:rFonts w:cs="Arial"/>
          <w:sz w:val="22"/>
          <w:szCs w:val="22"/>
        </w:rPr>
      </w:pPr>
      <w:r w:rsidRPr="00391D31">
        <w:rPr>
          <w:rFonts w:cs="Arial"/>
          <w:sz w:val="22"/>
          <w:szCs w:val="22"/>
        </w:rPr>
        <w:t>Mercer, T and Jarvie W. 2017. 'Negotiating the Early Childhood Education Revolution: An Exercise in Multi-level Governance', in Daniell, KA and Kay, A (eds),</w:t>
      </w:r>
      <w:r w:rsidRPr="00391D31">
        <w:rPr>
          <w:rFonts w:cs="Arial"/>
          <w:i/>
          <w:sz w:val="22"/>
          <w:szCs w:val="22"/>
        </w:rPr>
        <w:t xml:space="preserve"> Multi-level Governance Conceptual challenges and case studies from </w:t>
      </w:r>
      <w:r w:rsidRPr="00391D31">
        <w:rPr>
          <w:rFonts w:cs="Arial"/>
          <w:sz w:val="22"/>
          <w:szCs w:val="22"/>
        </w:rPr>
        <w:t>Australia. ANU Press, Acton ACT, pp. 161–185.</w:t>
      </w:r>
    </w:p>
    <w:p w14:paraId="106D255E" w14:textId="77777777" w:rsidR="00F95267" w:rsidRPr="00391D31" w:rsidRDefault="00F95267" w:rsidP="00F95267">
      <w:pPr>
        <w:rPr>
          <w:rFonts w:cs="Arial"/>
          <w:sz w:val="22"/>
          <w:szCs w:val="22"/>
        </w:rPr>
      </w:pPr>
    </w:p>
    <w:p w14:paraId="463F4C02" w14:textId="77777777" w:rsidR="00F95267" w:rsidRPr="00391D31" w:rsidRDefault="00F95267" w:rsidP="00F95267">
      <w:pPr>
        <w:rPr>
          <w:rFonts w:cs="Arial"/>
          <w:sz w:val="22"/>
          <w:szCs w:val="22"/>
        </w:rPr>
      </w:pPr>
      <w:r w:rsidRPr="00391D31">
        <w:rPr>
          <w:rFonts w:cs="Arial"/>
          <w:sz w:val="22"/>
          <w:szCs w:val="22"/>
        </w:rPr>
        <w:t xml:space="preserve">O’Connell, M. 2019. ‘One-third of all preschool centres could be without a trained teacher in four years, if we do nothing’. </w:t>
      </w:r>
      <w:r w:rsidRPr="00391D31">
        <w:rPr>
          <w:rFonts w:cs="Arial"/>
          <w:i/>
          <w:sz w:val="22"/>
          <w:szCs w:val="22"/>
        </w:rPr>
        <w:t>The Conversation</w:t>
      </w:r>
      <w:r w:rsidRPr="00391D31">
        <w:rPr>
          <w:rFonts w:cs="Arial"/>
          <w:sz w:val="22"/>
          <w:szCs w:val="22"/>
        </w:rPr>
        <w:t>, 19 July. Available at: theconversation.com/one-third-of-all-preschool-centres-could-be-without-a-trained-teacher-in-four-years-if-we-do-nothing-120099.</w:t>
      </w:r>
    </w:p>
    <w:p w14:paraId="0553BFCC" w14:textId="77777777" w:rsidR="00F95267" w:rsidRPr="00391D31" w:rsidRDefault="00F95267" w:rsidP="00F95267">
      <w:pPr>
        <w:rPr>
          <w:rFonts w:cs="Arial"/>
          <w:sz w:val="22"/>
          <w:szCs w:val="22"/>
          <w:lang w:val="en-AU"/>
        </w:rPr>
      </w:pPr>
    </w:p>
    <w:p w14:paraId="78F1AB21" w14:textId="77777777" w:rsidR="00F95267" w:rsidRPr="00391D31" w:rsidRDefault="009D202B" w:rsidP="00F95267">
      <w:pPr>
        <w:rPr>
          <w:rFonts w:cs="Arial"/>
          <w:sz w:val="22"/>
          <w:szCs w:val="22"/>
          <w:lang w:val="en-AU"/>
        </w:rPr>
      </w:pPr>
      <w:r w:rsidRPr="00391D31">
        <w:rPr>
          <w:rFonts w:cs="Arial"/>
          <w:sz w:val="22"/>
          <w:szCs w:val="22"/>
          <w:lang w:val="en-AU"/>
        </w:rPr>
        <w:t>Organisation for Economic Co-operation and Development (</w:t>
      </w:r>
      <w:r w:rsidR="00F95267" w:rsidRPr="00391D31">
        <w:rPr>
          <w:rFonts w:cs="Arial"/>
          <w:sz w:val="22"/>
          <w:szCs w:val="22"/>
          <w:lang w:val="en-AU"/>
        </w:rPr>
        <w:t>OECD</w:t>
      </w:r>
      <w:r w:rsidRPr="00391D31">
        <w:rPr>
          <w:rFonts w:cs="Arial"/>
          <w:sz w:val="22"/>
          <w:szCs w:val="22"/>
          <w:lang w:val="en-AU"/>
        </w:rPr>
        <w:t>)</w:t>
      </w:r>
      <w:r w:rsidR="00F95267" w:rsidRPr="00391D31">
        <w:rPr>
          <w:rFonts w:cs="Arial"/>
          <w:sz w:val="22"/>
          <w:szCs w:val="22"/>
          <w:lang w:val="en-AU"/>
        </w:rPr>
        <w:t>. 2016</w:t>
      </w:r>
      <w:r w:rsidRPr="00391D31">
        <w:rPr>
          <w:rFonts w:cs="Arial"/>
          <w:sz w:val="22"/>
          <w:szCs w:val="22"/>
          <w:lang w:val="en-AU"/>
        </w:rPr>
        <w:t>.</w:t>
      </w:r>
      <w:r w:rsidR="00F95267" w:rsidRPr="00391D31">
        <w:rPr>
          <w:rFonts w:cs="Arial"/>
          <w:sz w:val="22"/>
          <w:szCs w:val="22"/>
          <w:lang w:val="en-AU"/>
        </w:rPr>
        <w:t xml:space="preserve"> Education Indicators in Focus</w:t>
      </w:r>
      <w:r w:rsidRPr="00391D31">
        <w:rPr>
          <w:rFonts w:cs="Arial"/>
          <w:sz w:val="22"/>
          <w:szCs w:val="22"/>
          <w:lang w:val="en-AU"/>
        </w:rPr>
        <w:t xml:space="preserve"> No. 42</w:t>
      </w:r>
      <w:r w:rsidR="00F95267" w:rsidRPr="00391D31">
        <w:rPr>
          <w:rFonts w:cs="Arial"/>
          <w:sz w:val="22"/>
          <w:szCs w:val="22"/>
          <w:lang w:val="en-AU"/>
        </w:rPr>
        <w:t>. May</w:t>
      </w:r>
      <w:r w:rsidRPr="00391D31">
        <w:rPr>
          <w:rFonts w:cs="Arial"/>
          <w:sz w:val="22"/>
          <w:szCs w:val="22"/>
          <w:lang w:val="en-AU"/>
        </w:rPr>
        <w:t>.</w:t>
      </w:r>
    </w:p>
    <w:p w14:paraId="6A3F0FC4" w14:textId="77777777" w:rsidR="00F95267" w:rsidRPr="00391D31" w:rsidRDefault="00F95267" w:rsidP="00F95267">
      <w:pPr>
        <w:rPr>
          <w:rFonts w:cs="Arial"/>
          <w:sz w:val="22"/>
          <w:szCs w:val="22"/>
          <w:lang w:val="en-AU"/>
        </w:rPr>
      </w:pPr>
    </w:p>
    <w:p w14:paraId="104CB8EF" w14:textId="77777777" w:rsidR="00F95267" w:rsidRPr="00391D31" w:rsidRDefault="001F0285" w:rsidP="00F95267">
      <w:pPr>
        <w:rPr>
          <w:rFonts w:cs="Arial"/>
          <w:sz w:val="22"/>
          <w:szCs w:val="22"/>
        </w:rPr>
      </w:pPr>
      <w:r w:rsidRPr="00391D31">
        <w:rPr>
          <w:rFonts w:cs="Arial"/>
          <w:sz w:val="22"/>
          <w:szCs w:val="22"/>
        </w:rPr>
        <w:t xml:space="preserve">———— </w:t>
      </w:r>
      <w:r w:rsidR="00F95267" w:rsidRPr="00391D31">
        <w:rPr>
          <w:rFonts w:cs="Arial"/>
          <w:sz w:val="22"/>
          <w:szCs w:val="22"/>
        </w:rPr>
        <w:t>2019. Education spending (indicator). doi: 10.1787/ca274bac-en (Accessed: 1 October 2019).</w:t>
      </w:r>
    </w:p>
    <w:p w14:paraId="6A5F5D6C" w14:textId="77777777" w:rsidR="00F95267" w:rsidRPr="00391D31" w:rsidRDefault="00F95267" w:rsidP="00F95267">
      <w:pPr>
        <w:rPr>
          <w:rFonts w:cs="Arial"/>
          <w:sz w:val="22"/>
          <w:szCs w:val="22"/>
        </w:rPr>
      </w:pPr>
    </w:p>
    <w:p w14:paraId="678FE5B4" w14:textId="77777777" w:rsidR="00F95267" w:rsidRPr="00391D31" w:rsidRDefault="00F95267" w:rsidP="00F95267">
      <w:pPr>
        <w:rPr>
          <w:rFonts w:cs="Arial"/>
          <w:sz w:val="22"/>
          <w:szCs w:val="22"/>
        </w:rPr>
      </w:pPr>
      <w:r w:rsidRPr="00391D31">
        <w:rPr>
          <w:rFonts w:cs="Arial"/>
          <w:sz w:val="22"/>
          <w:szCs w:val="22"/>
        </w:rPr>
        <w:t xml:space="preserve">Pascoe, S. &amp; Brennan, D. 2017. </w:t>
      </w:r>
      <w:r w:rsidRPr="00391D31">
        <w:rPr>
          <w:rFonts w:cs="Arial"/>
          <w:i/>
          <w:sz w:val="22"/>
          <w:szCs w:val="22"/>
        </w:rPr>
        <w:t xml:space="preserve">Lifting Our Game Report of the Review to Achieve Educational Excellence in Australian Schools through Early Childhood Interventions. </w:t>
      </w:r>
      <w:r w:rsidRPr="00391D31">
        <w:rPr>
          <w:rFonts w:cs="Arial"/>
          <w:sz w:val="22"/>
          <w:szCs w:val="22"/>
        </w:rPr>
        <w:t>Melbourne: Authorised by the Victorian Government. December.</w:t>
      </w:r>
    </w:p>
    <w:p w14:paraId="166C12B2" w14:textId="77777777" w:rsidR="00F95267" w:rsidRPr="00391D31" w:rsidRDefault="00F95267" w:rsidP="00F95267">
      <w:pPr>
        <w:rPr>
          <w:rFonts w:cs="Arial"/>
          <w:sz w:val="22"/>
          <w:szCs w:val="22"/>
          <w:u w:val="single"/>
        </w:rPr>
      </w:pPr>
    </w:p>
    <w:p w14:paraId="4B15E425" w14:textId="77777777" w:rsidR="00F95267" w:rsidRPr="00391D31" w:rsidRDefault="00F95267" w:rsidP="00F95267">
      <w:pPr>
        <w:rPr>
          <w:rFonts w:cs="Arial"/>
          <w:sz w:val="22"/>
          <w:szCs w:val="22"/>
          <w:lang w:val="en-AU"/>
        </w:rPr>
      </w:pPr>
      <w:r w:rsidRPr="00391D31">
        <w:rPr>
          <w:rFonts w:cs="Arial"/>
          <w:sz w:val="22"/>
          <w:szCs w:val="22"/>
          <w:lang w:val="en-AU"/>
        </w:rPr>
        <w:t xml:space="preserve">Productivity Commission. 2014. </w:t>
      </w:r>
      <w:r w:rsidRPr="00391D31">
        <w:rPr>
          <w:rFonts w:cs="Arial"/>
          <w:i/>
          <w:sz w:val="22"/>
          <w:szCs w:val="22"/>
          <w:lang w:val="en-AU"/>
        </w:rPr>
        <w:t>Childcare and Early Childhood Learning: Inquiry Report No. 73</w:t>
      </w:r>
      <w:r w:rsidRPr="00391D31">
        <w:rPr>
          <w:rFonts w:cs="Arial"/>
          <w:sz w:val="22"/>
          <w:szCs w:val="22"/>
          <w:lang w:val="en-AU"/>
        </w:rPr>
        <w:t>. Canberra.</w:t>
      </w:r>
    </w:p>
    <w:p w14:paraId="21DE4319" w14:textId="77777777" w:rsidR="00F95267" w:rsidRPr="00391D31" w:rsidRDefault="00F95267" w:rsidP="00F95267">
      <w:pPr>
        <w:rPr>
          <w:rFonts w:cs="Arial"/>
          <w:sz w:val="22"/>
          <w:szCs w:val="22"/>
        </w:rPr>
      </w:pPr>
    </w:p>
    <w:p w14:paraId="66C0DFE2" w14:textId="77777777" w:rsidR="00506FED" w:rsidRPr="00391D31" w:rsidRDefault="00F95267" w:rsidP="00506FED">
      <w:pPr>
        <w:rPr>
          <w:rFonts w:cs="Arial"/>
          <w:sz w:val="22"/>
          <w:szCs w:val="22"/>
          <w:lang w:val="en-AU"/>
        </w:rPr>
      </w:pPr>
      <w:r w:rsidRPr="00391D31">
        <w:rPr>
          <w:rFonts w:cs="Arial"/>
          <w:sz w:val="22"/>
          <w:szCs w:val="22"/>
          <w:lang w:val="en-AU"/>
        </w:rPr>
        <w:t xml:space="preserve">Williams, E, Westhorp, G and Lovell, J. 2018. </w:t>
      </w:r>
      <w:r w:rsidRPr="00391D31">
        <w:rPr>
          <w:rFonts w:cs="Arial"/>
          <w:i/>
          <w:sz w:val="22"/>
          <w:szCs w:val="22"/>
          <w:lang w:val="en-AU"/>
        </w:rPr>
        <w:t>Emerging outcomes and explanations: A formative, realist evaluation of the Catholic Education WA Aboriginal Families as First Educators Program</w:t>
      </w:r>
      <w:r w:rsidRPr="00391D31">
        <w:rPr>
          <w:rFonts w:cs="Arial"/>
          <w:sz w:val="22"/>
          <w:szCs w:val="22"/>
          <w:lang w:val="en-AU"/>
        </w:rPr>
        <w:t>. Northern Institute,</w:t>
      </w:r>
      <w:r w:rsidR="00391D31" w:rsidRPr="00391D31">
        <w:rPr>
          <w:rFonts w:cs="Arial"/>
          <w:sz w:val="22"/>
          <w:szCs w:val="22"/>
          <w:lang w:val="en-AU"/>
        </w:rPr>
        <w:t xml:space="preserve"> Charles Darwin University, May.</w:t>
      </w:r>
    </w:p>
    <w:sectPr w:rsidR="00506FED" w:rsidRPr="00391D31" w:rsidSect="00391D31">
      <w:footerReference w:type="default" r:id="rId8"/>
      <w:pgSz w:w="11900" w:h="16840"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49334" w14:textId="77777777" w:rsidR="00093BB8" w:rsidRDefault="00093BB8" w:rsidP="00B470F2">
      <w:r>
        <w:separator/>
      </w:r>
    </w:p>
  </w:endnote>
  <w:endnote w:type="continuationSeparator" w:id="0">
    <w:p w14:paraId="29EAB343" w14:textId="77777777" w:rsidR="00093BB8" w:rsidRDefault="00093BB8" w:rsidP="00B4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ZapfDingbatsITC">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AD2C" w14:textId="77777777" w:rsidR="00A42B40" w:rsidRPr="00391D31" w:rsidRDefault="00A42B40" w:rsidP="00391D31">
    <w:pPr>
      <w:pStyle w:val="Footer"/>
      <w:tabs>
        <w:tab w:val="clear" w:pos="4513"/>
        <w:tab w:val="clear" w:pos="9026"/>
        <w:tab w:val="center" w:pos="4820"/>
        <w:tab w:val="right" w:pos="9740"/>
      </w:tabs>
      <w:rPr>
        <w:sz w:val="20"/>
        <w:szCs w:val="20"/>
      </w:rPr>
    </w:pPr>
    <w:r w:rsidRPr="00391D31">
      <w:rPr>
        <w:sz w:val="20"/>
        <w:szCs w:val="20"/>
      </w:rPr>
      <w:t xml:space="preserve">NPUA </w:t>
    </w:r>
    <w:r w:rsidR="00391D31">
      <w:rPr>
        <w:sz w:val="20"/>
        <w:szCs w:val="20"/>
      </w:rPr>
      <w:t xml:space="preserve">Review </w:t>
    </w:r>
    <w:r w:rsidRPr="00391D31">
      <w:rPr>
        <w:sz w:val="20"/>
        <w:szCs w:val="20"/>
      </w:rPr>
      <w:t>Sub</w:t>
    </w:r>
    <w:r w:rsidR="005161FF" w:rsidRPr="00391D31">
      <w:rPr>
        <w:sz w:val="20"/>
        <w:szCs w:val="20"/>
      </w:rPr>
      <w:t>mission: Jarvie, Mercer &amp; Ayres</w:t>
    </w:r>
    <w:r w:rsidRPr="00391D31">
      <w:rPr>
        <w:sz w:val="20"/>
        <w:szCs w:val="20"/>
      </w:rPr>
      <w:tab/>
    </w:r>
    <w:r w:rsidRPr="00391D31">
      <w:rPr>
        <w:sz w:val="20"/>
        <w:szCs w:val="20"/>
      </w:rPr>
      <w:fldChar w:fldCharType="begin"/>
    </w:r>
    <w:r w:rsidRPr="00391D31">
      <w:rPr>
        <w:sz w:val="20"/>
        <w:szCs w:val="20"/>
      </w:rPr>
      <w:instrText xml:space="preserve"> page \* MERGEFORMAT </w:instrText>
    </w:r>
    <w:r w:rsidRPr="00391D31">
      <w:rPr>
        <w:sz w:val="20"/>
        <w:szCs w:val="20"/>
      </w:rPr>
      <w:fldChar w:fldCharType="separate"/>
    </w:r>
    <w:r w:rsidR="00093BB8">
      <w:rPr>
        <w:noProof/>
        <w:sz w:val="20"/>
        <w:szCs w:val="20"/>
      </w:rPr>
      <w:t>1</w:t>
    </w:r>
    <w:r w:rsidRPr="00391D31">
      <w:rPr>
        <w:sz w:val="20"/>
        <w:szCs w:val="20"/>
      </w:rPr>
      <w:fldChar w:fldCharType="end"/>
    </w:r>
    <w:r w:rsidRPr="00391D31">
      <w:rPr>
        <w:sz w:val="20"/>
        <w:szCs w:val="20"/>
      </w:rPr>
      <w:tab/>
    </w:r>
    <w:r w:rsidR="00383FB1" w:rsidRPr="00391D31">
      <w:rPr>
        <w:sz w:val="20"/>
        <w:szCs w:val="20"/>
      </w:rPr>
      <w:t>6</w:t>
    </w:r>
    <w:r w:rsidR="00C94A75" w:rsidRPr="00391D31">
      <w:rPr>
        <w:sz w:val="20"/>
        <w:szCs w:val="20"/>
      </w:rPr>
      <w:t xml:space="preserve"> </w:t>
    </w:r>
    <w:r w:rsidRPr="00391D31">
      <w:rPr>
        <w:sz w:val="20"/>
        <w:szCs w:val="20"/>
      </w:rPr>
      <w:t>October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D16A8" w14:textId="77777777" w:rsidR="00093BB8" w:rsidRDefault="00093BB8" w:rsidP="00B470F2">
      <w:r>
        <w:separator/>
      </w:r>
    </w:p>
  </w:footnote>
  <w:footnote w:type="continuationSeparator" w:id="0">
    <w:p w14:paraId="2C04EAAE" w14:textId="77777777" w:rsidR="00093BB8" w:rsidRDefault="00093BB8" w:rsidP="00B470F2">
      <w:r>
        <w:continuationSeparator/>
      </w:r>
    </w:p>
  </w:footnote>
  <w:footnote w:id="1">
    <w:p w14:paraId="0D20E4FC" w14:textId="77777777" w:rsidR="00A42B40" w:rsidRPr="009C26F6" w:rsidRDefault="00A42B40" w:rsidP="00F975C2">
      <w:pPr>
        <w:pStyle w:val="FootnoteText"/>
        <w:rPr>
          <w:color w:val="FF0000"/>
          <w:lang w:val="en-AU"/>
        </w:rPr>
      </w:pPr>
      <w:r>
        <w:rPr>
          <w:rStyle w:val="FootnoteReference"/>
        </w:rPr>
        <w:footnoteRef/>
      </w:r>
      <w:r>
        <w:t xml:space="preserve"> </w:t>
      </w:r>
      <w:r>
        <w:rPr>
          <w:lang w:val="en-AU"/>
        </w:rPr>
        <w:t>The Commonwealth also provides indirect funding through its child care subsidies, which have contributed as preschool has been increasingly provided in long day care settings in some jurisdictions. Over the same period as outlined above (ie 2012-13 to 2017-18), however, Australian Government recurrent expenditure on child care has increased at a significantly lower rate than the States’ and Territories’ on preschool – at 14% (from $6.5b to $7.4b) compared to 22% (ROGS 2019, Tables 3A.6 &amp; 3A.7).</w:t>
      </w:r>
      <w:r>
        <w:rPr>
          <w:color w:val="FF0000"/>
          <w:lang w:val="en-AU"/>
        </w:rPr>
        <w:t xml:space="preserve"> </w:t>
      </w:r>
    </w:p>
  </w:footnote>
  <w:footnote w:id="2">
    <w:p w14:paraId="41FD55E3" w14:textId="77777777" w:rsidR="00A42B40" w:rsidRPr="00331446" w:rsidRDefault="00A42B40">
      <w:pPr>
        <w:pStyle w:val="FootnoteText"/>
        <w:rPr>
          <w:color w:val="FF0000"/>
          <w:lang w:val="en-AU"/>
        </w:rPr>
      </w:pPr>
      <w:r>
        <w:rPr>
          <w:rStyle w:val="FootnoteReference"/>
        </w:rPr>
        <w:footnoteRef/>
      </w:r>
      <w:r>
        <w:t xml:space="preserve"> </w:t>
      </w:r>
      <w:r>
        <w:rPr>
          <w:lang w:val="en-AU"/>
        </w:rPr>
        <w:t>This result, while encouraging, come</w:t>
      </w:r>
      <w:r w:rsidR="00244626">
        <w:rPr>
          <w:lang w:val="en-AU"/>
        </w:rPr>
        <w:t>s</w:t>
      </w:r>
      <w:r>
        <w:rPr>
          <w:lang w:val="en-AU"/>
        </w:rPr>
        <w:t xml:space="preserve"> on the back of a near tripling in three year old enrolments between 2015 (66,706) and 2016 (183,355) in ROGS (2019, Table 3A.19). </w:t>
      </w:r>
      <w:r w:rsidR="005A7F55">
        <w:rPr>
          <w:lang w:val="en-AU"/>
        </w:rPr>
        <w:t>This is effectively a break in series, as it resulted from a change in the counting methodology</w:t>
      </w:r>
      <w:r>
        <w:rPr>
          <w:lang w:val="en-AU"/>
        </w:rPr>
        <w:t>.</w:t>
      </w:r>
    </w:p>
  </w:footnote>
  <w:footnote w:id="3">
    <w:p w14:paraId="2ED4C41A" w14:textId="77777777" w:rsidR="00A42B40" w:rsidRPr="00331446" w:rsidRDefault="00A42B40">
      <w:pPr>
        <w:pStyle w:val="FootnoteText"/>
        <w:rPr>
          <w:lang w:val="en-AU"/>
        </w:rPr>
      </w:pPr>
      <w:r>
        <w:rPr>
          <w:rStyle w:val="FootnoteReference"/>
        </w:rPr>
        <w:footnoteRef/>
      </w:r>
      <w:r>
        <w:t xml:space="preserve"> ‘</w:t>
      </w:r>
      <w:r>
        <w:rPr>
          <w:lang w:val="en-AU"/>
        </w:rPr>
        <w:t xml:space="preserve">A Statistical Snapshot of Women in the Australian Workforce’, March 2019, available at: </w:t>
      </w:r>
      <w:r w:rsidRPr="00594317">
        <w:rPr>
          <w:lang w:val="en-AU"/>
        </w:rPr>
        <w:t>https://www.employment.gov.au/newsroom/statistical-snapshot-women-australian-workforce</w:t>
      </w:r>
      <w:r>
        <w:rPr>
          <w:lang w:val="en-AU"/>
        </w:rPr>
        <w:t>.</w:t>
      </w:r>
    </w:p>
  </w:footnote>
  <w:footnote w:id="4">
    <w:p w14:paraId="3373DCBB" w14:textId="77777777" w:rsidR="00D34262" w:rsidRPr="00D34262" w:rsidRDefault="00D34262" w:rsidP="00D34262">
      <w:pPr>
        <w:pStyle w:val="FootnoteText"/>
      </w:pPr>
      <w:r>
        <w:rPr>
          <w:rStyle w:val="FootnoteReference"/>
        </w:rPr>
        <w:footnoteRef/>
      </w:r>
      <w:r>
        <w:t xml:space="preserve"> </w:t>
      </w:r>
      <w:r w:rsidR="009D202B">
        <w:t>Manning, et al</w:t>
      </w:r>
      <w:r w:rsidR="009D202B" w:rsidRPr="009D202B">
        <w:t xml:space="preserve">. </w:t>
      </w:r>
      <w:r w:rsidR="009D202B">
        <w:t>(</w:t>
      </w:r>
      <w:r w:rsidR="009D202B" w:rsidRPr="009D202B">
        <w:t>2017</w:t>
      </w:r>
      <w:r w:rsidR="009D202B">
        <w:t>)</w:t>
      </w:r>
      <w:r w:rsidR="00391D31">
        <w:t>, for example,</w:t>
      </w:r>
      <w:r w:rsidR="009D202B">
        <w:t xml:space="preserve"> find that</w:t>
      </w:r>
      <w:r w:rsidR="009D202B" w:rsidRPr="009D202B" w:rsidDel="009D202B">
        <w:t xml:space="preserve"> </w:t>
      </w:r>
      <w:r>
        <w:t>‘</w:t>
      </w:r>
      <w:r w:rsidRPr="00D34262">
        <w:t>Higher teacher qualifications are associated with</w:t>
      </w:r>
      <w:r>
        <w:t xml:space="preserve"> </w:t>
      </w:r>
      <w:r w:rsidRPr="00D34262">
        <w:t>higher quality early childhood education and care</w:t>
      </w:r>
      <w:r>
        <w:t xml:space="preserve">’. This study found higher qualifications were positively associated with higher quality in early childhood education, based on 48 studies with 82 independent samples </w:t>
      </w:r>
      <w:r w:rsidR="00561583">
        <w:t xml:space="preserve">from several countries.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245"/>
    <w:multiLevelType w:val="hybridMultilevel"/>
    <w:tmpl w:val="6288918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54410"/>
    <w:multiLevelType w:val="hybridMultilevel"/>
    <w:tmpl w:val="B1EA1464"/>
    <w:lvl w:ilvl="0" w:tplc="9586BDE2">
      <w:start w:val="1"/>
      <w:numFmt w:val="bullet"/>
      <w:lvlText w:val="✔"/>
      <w:lvlJc w:val="left"/>
      <w:pPr>
        <w:tabs>
          <w:tab w:val="num" w:pos="720"/>
        </w:tabs>
        <w:ind w:left="720" w:hanging="360"/>
      </w:pPr>
      <w:rPr>
        <w:rFonts w:ascii="ZapfDingbatsITC" w:hAnsi="ZapfDingbatsITC" w:hint="default"/>
      </w:rPr>
    </w:lvl>
    <w:lvl w:ilvl="1" w:tplc="04848710" w:tentative="1">
      <w:start w:val="1"/>
      <w:numFmt w:val="bullet"/>
      <w:lvlText w:val="✔"/>
      <w:lvlJc w:val="left"/>
      <w:pPr>
        <w:tabs>
          <w:tab w:val="num" w:pos="1440"/>
        </w:tabs>
        <w:ind w:left="1440" w:hanging="360"/>
      </w:pPr>
      <w:rPr>
        <w:rFonts w:ascii="ZapfDingbatsITC" w:hAnsi="ZapfDingbatsITC" w:hint="default"/>
      </w:rPr>
    </w:lvl>
    <w:lvl w:ilvl="2" w:tplc="D73CDADA" w:tentative="1">
      <w:start w:val="1"/>
      <w:numFmt w:val="bullet"/>
      <w:lvlText w:val="✔"/>
      <w:lvlJc w:val="left"/>
      <w:pPr>
        <w:tabs>
          <w:tab w:val="num" w:pos="2160"/>
        </w:tabs>
        <w:ind w:left="2160" w:hanging="360"/>
      </w:pPr>
      <w:rPr>
        <w:rFonts w:ascii="ZapfDingbatsITC" w:hAnsi="ZapfDingbatsITC" w:hint="default"/>
      </w:rPr>
    </w:lvl>
    <w:lvl w:ilvl="3" w:tplc="7E920AC0" w:tentative="1">
      <w:start w:val="1"/>
      <w:numFmt w:val="bullet"/>
      <w:lvlText w:val="✔"/>
      <w:lvlJc w:val="left"/>
      <w:pPr>
        <w:tabs>
          <w:tab w:val="num" w:pos="2880"/>
        </w:tabs>
        <w:ind w:left="2880" w:hanging="360"/>
      </w:pPr>
      <w:rPr>
        <w:rFonts w:ascii="ZapfDingbatsITC" w:hAnsi="ZapfDingbatsITC" w:hint="default"/>
      </w:rPr>
    </w:lvl>
    <w:lvl w:ilvl="4" w:tplc="E6607CF2" w:tentative="1">
      <w:start w:val="1"/>
      <w:numFmt w:val="bullet"/>
      <w:lvlText w:val="✔"/>
      <w:lvlJc w:val="left"/>
      <w:pPr>
        <w:tabs>
          <w:tab w:val="num" w:pos="3600"/>
        </w:tabs>
        <w:ind w:left="3600" w:hanging="360"/>
      </w:pPr>
      <w:rPr>
        <w:rFonts w:ascii="ZapfDingbatsITC" w:hAnsi="ZapfDingbatsITC" w:hint="default"/>
      </w:rPr>
    </w:lvl>
    <w:lvl w:ilvl="5" w:tplc="F098A910" w:tentative="1">
      <w:start w:val="1"/>
      <w:numFmt w:val="bullet"/>
      <w:lvlText w:val="✔"/>
      <w:lvlJc w:val="left"/>
      <w:pPr>
        <w:tabs>
          <w:tab w:val="num" w:pos="4320"/>
        </w:tabs>
        <w:ind w:left="4320" w:hanging="360"/>
      </w:pPr>
      <w:rPr>
        <w:rFonts w:ascii="ZapfDingbatsITC" w:hAnsi="ZapfDingbatsITC" w:hint="default"/>
      </w:rPr>
    </w:lvl>
    <w:lvl w:ilvl="6" w:tplc="77E64A30" w:tentative="1">
      <w:start w:val="1"/>
      <w:numFmt w:val="bullet"/>
      <w:lvlText w:val="✔"/>
      <w:lvlJc w:val="left"/>
      <w:pPr>
        <w:tabs>
          <w:tab w:val="num" w:pos="5040"/>
        </w:tabs>
        <w:ind w:left="5040" w:hanging="360"/>
      </w:pPr>
      <w:rPr>
        <w:rFonts w:ascii="ZapfDingbatsITC" w:hAnsi="ZapfDingbatsITC" w:hint="default"/>
      </w:rPr>
    </w:lvl>
    <w:lvl w:ilvl="7" w:tplc="97087756" w:tentative="1">
      <w:start w:val="1"/>
      <w:numFmt w:val="bullet"/>
      <w:lvlText w:val="✔"/>
      <w:lvlJc w:val="left"/>
      <w:pPr>
        <w:tabs>
          <w:tab w:val="num" w:pos="5760"/>
        </w:tabs>
        <w:ind w:left="5760" w:hanging="360"/>
      </w:pPr>
      <w:rPr>
        <w:rFonts w:ascii="ZapfDingbatsITC" w:hAnsi="ZapfDingbatsITC" w:hint="default"/>
      </w:rPr>
    </w:lvl>
    <w:lvl w:ilvl="8" w:tplc="7F5A0DE2" w:tentative="1">
      <w:start w:val="1"/>
      <w:numFmt w:val="bullet"/>
      <w:lvlText w:val="✔"/>
      <w:lvlJc w:val="left"/>
      <w:pPr>
        <w:tabs>
          <w:tab w:val="num" w:pos="6480"/>
        </w:tabs>
        <w:ind w:left="6480" w:hanging="360"/>
      </w:pPr>
      <w:rPr>
        <w:rFonts w:ascii="ZapfDingbatsITC" w:hAnsi="ZapfDingbatsITC" w:hint="default"/>
      </w:rPr>
    </w:lvl>
  </w:abstractNum>
  <w:abstractNum w:abstractNumId="2">
    <w:nsid w:val="102B6F15"/>
    <w:multiLevelType w:val="hybridMultilevel"/>
    <w:tmpl w:val="98AC9A1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120A3A63"/>
    <w:multiLevelType w:val="hybridMultilevel"/>
    <w:tmpl w:val="270E8C5E"/>
    <w:lvl w:ilvl="0" w:tplc="543A8F6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DB393B"/>
    <w:multiLevelType w:val="hybridMultilevel"/>
    <w:tmpl w:val="923A6108"/>
    <w:lvl w:ilvl="0" w:tplc="7DB898CC">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5291BD2"/>
    <w:multiLevelType w:val="hybridMultilevel"/>
    <w:tmpl w:val="18D06674"/>
    <w:lvl w:ilvl="0" w:tplc="7DB898C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17848"/>
    <w:multiLevelType w:val="hybridMultilevel"/>
    <w:tmpl w:val="3078DF6E"/>
    <w:lvl w:ilvl="0" w:tplc="3C7CD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4178E8"/>
    <w:multiLevelType w:val="hybridMultilevel"/>
    <w:tmpl w:val="FB98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1F048A"/>
    <w:multiLevelType w:val="hybridMultilevel"/>
    <w:tmpl w:val="731A0F38"/>
    <w:lvl w:ilvl="0" w:tplc="7DB898CC">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581A10"/>
    <w:multiLevelType w:val="hybridMultilevel"/>
    <w:tmpl w:val="2A8ED294"/>
    <w:lvl w:ilvl="0" w:tplc="01A8C410">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nsid w:val="64FB3E35"/>
    <w:multiLevelType w:val="hybridMultilevel"/>
    <w:tmpl w:val="3E70A54E"/>
    <w:lvl w:ilvl="0" w:tplc="01A8C4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5621D12"/>
    <w:multiLevelType w:val="hybridMultilevel"/>
    <w:tmpl w:val="CD92DC68"/>
    <w:lvl w:ilvl="0" w:tplc="01A8C4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B8302E"/>
    <w:multiLevelType w:val="hybridMultilevel"/>
    <w:tmpl w:val="D6588C28"/>
    <w:lvl w:ilvl="0" w:tplc="01A8C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6F7A03"/>
    <w:multiLevelType w:val="hybridMultilevel"/>
    <w:tmpl w:val="5254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623997"/>
    <w:multiLevelType w:val="hybridMultilevel"/>
    <w:tmpl w:val="4FD2BEE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4"/>
  </w:num>
  <w:num w:numId="5">
    <w:abstractNumId w:val="1"/>
  </w:num>
  <w:num w:numId="6">
    <w:abstractNumId w:val="13"/>
  </w:num>
  <w:num w:numId="7">
    <w:abstractNumId w:val="6"/>
  </w:num>
  <w:num w:numId="8">
    <w:abstractNumId w:val="9"/>
  </w:num>
  <w:num w:numId="9">
    <w:abstractNumId w:val="3"/>
  </w:num>
  <w:num w:numId="10">
    <w:abstractNumId w:val="4"/>
  </w:num>
  <w:num w:numId="11">
    <w:abstractNumId w:val="12"/>
  </w:num>
  <w:num w:numId="12">
    <w:abstractNumId w:val="10"/>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ED"/>
    <w:rsid w:val="00007B1E"/>
    <w:rsid w:val="00034384"/>
    <w:rsid w:val="000433D0"/>
    <w:rsid w:val="0006716A"/>
    <w:rsid w:val="000871D9"/>
    <w:rsid w:val="000877F2"/>
    <w:rsid w:val="000901F8"/>
    <w:rsid w:val="00090A93"/>
    <w:rsid w:val="000918E7"/>
    <w:rsid w:val="00093BB8"/>
    <w:rsid w:val="00095802"/>
    <w:rsid w:val="000A74DE"/>
    <w:rsid w:val="000E3C67"/>
    <w:rsid w:val="000F22DA"/>
    <w:rsid w:val="001046D8"/>
    <w:rsid w:val="00110B68"/>
    <w:rsid w:val="00113454"/>
    <w:rsid w:val="001169F8"/>
    <w:rsid w:val="00133F5C"/>
    <w:rsid w:val="001377B0"/>
    <w:rsid w:val="00142006"/>
    <w:rsid w:val="00144D6B"/>
    <w:rsid w:val="001524E3"/>
    <w:rsid w:val="0015342B"/>
    <w:rsid w:val="00153854"/>
    <w:rsid w:val="00162F80"/>
    <w:rsid w:val="00193CE5"/>
    <w:rsid w:val="001A5E5B"/>
    <w:rsid w:val="001F0285"/>
    <w:rsid w:val="001F0EF9"/>
    <w:rsid w:val="001F5F54"/>
    <w:rsid w:val="00217C38"/>
    <w:rsid w:val="0022232F"/>
    <w:rsid w:val="002246B8"/>
    <w:rsid w:val="00231B8E"/>
    <w:rsid w:val="00244626"/>
    <w:rsid w:val="00245DB1"/>
    <w:rsid w:val="002604F2"/>
    <w:rsid w:val="00260D10"/>
    <w:rsid w:val="00261849"/>
    <w:rsid w:val="00271B05"/>
    <w:rsid w:val="002924EA"/>
    <w:rsid w:val="00294AD6"/>
    <w:rsid w:val="002B307B"/>
    <w:rsid w:val="002B4C52"/>
    <w:rsid w:val="002D72FA"/>
    <w:rsid w:val="002F3455"/>
    <w:rsid w:val="00304F45"/>
    <w:rsid w:val="00322FE0"/>
    <w:rsid w:val="003237F7"/>
    <w:rsid w:val="00331446"/>
    <w:rsid w:val="00333E9D"/>
    <w:rsid w:val="0035762B"/>
    <w:rsid w:val="00357824"/>
    <w:rsid w:val="00365318"/>
    <w:rsid w:val="00372B10"/>
    <w:rsid w:val="00372F09"/>
    <w:rsid w:val="0037492D"/>
    <w:rsid w:val="003813AA"/>
    <w:rsid w:val="00383FB1"/>
    <w:rsid w:val="0039013E"/>
    <w:rsid w:val="00391D31"/>
    <w:rsid w:val="00391EBC"/>
    <w:rsid w:val="003A04A7"/>
    <w:rsid w:val="003D759C"/>
    <w:rsid w:val="00451355"/>
    <w:rsid w:val="00460941"/>
    <w:rsid w:val="004609A1"/>
    <w:rsid w:val="00477EDB"/>
    <w:rsid w:val="00482A7B"/>
    <w:rsid w:val="004864CC"/>
    <w:rsid w:val="004A475F"/>
    <w:rsid w:val="004A5B53"/>
    <w:rsid w:val="004B160D"/>
    <w:rsid w:val="004C4063"/>
    <w:rsid w:val="004C6AFC"/>
    <w:rsid w:val="004D46BE"/>
    <w:rsid w:val="004D7D35"/>
    <w:rsid w:val="004E2395"/>
    <w:rsid w:val="004E5F9A"/>
    <w:rsid w:val="004E6DB3"/>
    <w:rsid w:val="00501897"/>
    <w:rsid w:val="00506FED"/>
    <w:rsid w:val="005161FF"/>
    <w:rsid w:val="00517246"/>
    <w:rsid w:val="00543D5D"/>
    <w:rsid w:val="0054548A"/>
    <w:rsid w:val="00547302"/>
    <w:rsid w:val="00554027"/>
    <w:rsid w:val="00561583"/>
    <w:rsid w:val="00561AFC"/>
    <w:rsid w:val="005628E3"/>
    <w:rsid w:val="0057309C"/>
    <w:rsid w:val="005771B7"/>
    <w:rsid w:val="0058007C"/>
    <w:rsid w:val="0058671B"/>
    <w:rsid w:val="00594317"/>
    <w:rsid w:val="005A37FC"/>
    <w:rsid w:val="005A5235"/>
    <w:rsid w:val="005A526C"/>
    <w:rsid w:val="005A7F55"/>
    <w:rsid w:val="005B23D6"/>
    <w:rsid w:val="005B28F5"/>
    <w:rsid w:val="005B3D09"/>
    <w:rsid w:val="005B4467"/>
    <w:rsid w:val="005B79F0"/>
    <w:rsid w:val="005C2944"/>
    <w:rsid w:val="005D634B"/>
    <w:rsid w:val="005E2434"/>
    <w:rsid w:val="005E26B6"/>
    <w:rsid w:val="005F5788"/>
    <w:rsid w:val="005F58B7"/>
    <w:rsid w:val="00614F8A"/>
    <w:rsid w:val="00650256"/>
    <w:rsid w:val="00657862"/>
    <w:rsid w:val="00663114"/>
    <w:rsid w:val="0067755B"/>
    <w:rsid w:val="006923DA"/>
    <w:rsid w:val="00695575"/>
    <w:rsid w:val="006A3CA4"/>
    <w:rsid w:val="006B1A02"/>
    <w:rsid w:val="006B2B31"/>
    <w:rsid w:val="006F017C"/>
    <w:rsid w:val="006F397E"/>
    <w:rsid w:val="0070024F"/>
    <w:rsid w:val="00702E12"/>
    <w:rsid w:val="00706560"/>
    <w:rsid w:val="00722C8D"/>
    <w:rsid w:val="0073046A"/>
    <w:rsid w:val="00755036"/>
    <w:rsid w:val="0076200D"/>
    <w:rsid w:val="00772D3C"/>
    <w:rsid w:val="00791795"/>
    <w:rsid w:val="007920C4"/>
    <w:rsid w:val="0079467D"/>
    <w:rsid w:val="007B1225"/>
    <w:rsid w:val="007B37D5"/>
    <w:rsid w:val="007B5E41"/>
    <w:rsid w:val="007D3D44"/>
    <w:rsid w:val="007F66E1"/>
    <w:rsid w:val="00802E84"/>
    <w:rsid w:val="0080552A"/>
    <w:rsid w:val="00822751"/>
    <w:rsid w:val="00822F1B"/>
    <w:rsid w:val="00851D5A"/>
    <w:rsid w:val="008565E2"/>
    <w:rsid w:val="008607EE"/>
    <w:rsid w:val="008612B6"/>
    <w:rsid w:val="00866758"/>
    <w:rsid w:val="00871AF6"/>
    <w:rsid w:val="008809DA"/>
    <w:rsid w:val="0089018B"/>
    <w:rsid w:val="008912AE"/>
    <w:rsid w:val="00895309"/>
    <w:rsid w:val="008A43B2"/>
    <w:rsid w:val="008B67D2"/>
    <w:rsid w:val="008C576E"/>
    <w:rsid w:val="008D22DA"/>
    <w:rsid w:val="008D63DB"/>
    <w:rsid w:val="008E20D2"/>
    <w:rsid w:val="008F1B8E"/>
    <w:rsid w:val="00907CA7"/>
    <w:rsid w:val="00914C95"/>
    <w:rsid w:val="00921983"/>
    <w:rsid w:val="00922193"/>
    <w:rsid w:val="00944DDD"/>
    <w:rsid w:val="00945477"/>
    <w:rsid w:val="009545B5"/>
    <w:rsid w:val="00982D3E"/>
    <w:rsid w:val="00983A7E"/>
    <w:rsid w:val="0099172E"/>
    <w:rsid w:val="00992E86"/>
    <w:rsid w:val="009B42C6"/>
    <w:rsid w:val="009B5FE2"/>
    <w:rsid w:val="009B6AE0"/>
    <w:rsid w:val="009B7899"/>
    <w:rsid w:val="009C26F6"/>
    <w:rsid w:val="009C2A7F"/>
    <w:rsid w:val="009C5197"/>
    <w:rsid w:val="009C6E8D"/>
    <w:rsid w:val="009D202B"/>
    <w:rsid w:val="009D7A7F"/>
    <w:rsid w:val="009E4507"/>
    <w:rsid w:val="00A037DC"/>
    <w:rsid w:val="00A058C3"/>
    <w:rsid w:val="00A065A2"/>
    <w:rsid w:val="00A23264"/>
    <w:rsid w:val="00A42B40"/>
    <w:rsid w:val="00A46C8D"/>
    <w:rsid w:val="00A56B16"/>
    <w:rsid w:val="00A75D52"/>
    <w:rsid w:val="00A829D3"/>
    <w:rsid w:val="00AA1D06"/>
    <w:rsid w:val="00AB7E2C"/>
    <w:rsid w:val="00AD7B83"/>
    <w:rsid w:val="00AE1BE8"/>
    <w:rsid w:val="00AF1A49"/>
    <w:rsid w:val="00AF480A"/>
    <w:rsid w:val="00B01610"/>
    <w:rsid w:val="00B02105"/>
    <w:rsid w:val="00B03AD6"/>
    <w:rsid w:val="00B15B89"/>
    <w:rsid w:val="00B165BE"/>
    <w:rsid w:val="00B470F2"/>
    <w:rsid w:val="00B654CD"/>
    <w:rsid w:val="00B728E7"/>
    <w:rsid w:val="00B74DDF"/>
    <w:rsid w:val="00B75051"/>
    <w:rsid w:val="00B76600"/>
    <w:rsid w:val="00B77A0F"/>
    <w:rsid w:val="00B80F9D"/>
    <w:rsid w:val="00B96F33"/>
    <w:rsid w:val="00BA1D09"/>
    <w:rsid w:val="00BA4A47"/>
    <w:rsid w:val="00BB0AB1"/>
    <w:rsid w:val="00BC4791"/>
    <w:rsid w:val="00BC4AA4"/>
    <w:rsid w:val="00BC5C3C"/>
    <w:rsid w:val="00BF7082"/>
    <w:rsid w:val="00BF7355"/>
    <w:rsid w:val="00BF7C7C"/>
    <w:rsid w:val="00C01853"/>
    <w:rsid w:val="00C06F95"/>
    <w:rsid w:val="00C13A6E"/>
    <w:rsid w:val="00C23E83"/>
    <w:rsid w:val="00C23F5B"/>
    <w:rsid w:val="00C4059D"/>
    <w:rsid w:val="00C56D9D"/>
    <w:rsid w:val="00C60D07"/>
    <w:rsid w:val="00C70024"/>
    <w:rsid w:val="00C7766E"/>
    <w:rsid w:val="00C77705"/>
    <w:rsid w:val="00C82605"/>
    <w:rsid w:val="00C90221"/>
    <w:rsid w:val="00C92881"/>
    <w:rsid w:val="00C94A75"/>
    <w:rsid w:val="00CA3223"/>
    <w:rsid w:val="00CA33A6"/>
    <w:rsid w:val="00CA5D72"/>
    <w:rsid w:val="00CB1F6D"/>
    <w:rsid w:val="00CB5E9C"/>
    <w:rsid w:val="00CC6B00"/>
    <w:rsid w:val="00CD2D76"/>
    <w:rsid w:val="00CE29F0"/>
    <w:rsid w:val="00CF29D3"/>
    <w:rsid w:val="00D1447E"/>
    <w:rsid w:val="00D14A2E"/>
    <w:rsid w:val="00D14DE0"/>
    <w:rsid w:val="00D34262"/>
    <w:rsid w:val="00D349E6"/>
    <w:rsid w:val="00D43CFF"/>
    <w:rsid w:val="00D505A8"/>
    <w:rsid w:val="00D522A9"/>
    <w:rsid w:val="00D57549"/>
    <w:rsid w:val="00D61D68"/>
    <w:rsid w:val="00D7304E"/>
    <w:rsid w:val="00D76F74"/>
    <w:rsid w:val="00D811F7"/>
    <w:rsid w:val="00D867E0"/>
    <w:rsid w:val="00D91F14"/>
    <w:rsid w:val="00DA4370"/>
    <w:rsid w:val="00DD0CF3"/>
    <w:rsid w:val="00DD2D69"/>
    <w:rsid w:val="00DD396B"/>
    <w:rsid w:val="00DD48A6"/>
    <w:rsid w:val="00DF1378"/>
    <w:rsid w:val="00DF2F4D"/>
    <w:rsid w:val="00E021BF"/>
    <w:rsid w:val="00E10D5F"/>
    <w:rsid w:val="00E1112C"/>
    <w:rsid w:val="00E25168"/>
    <w:rsid w:val="00E258F7"/>
    <w:rsid w:val="00E31C53"/>
    <w:rsid w:val="00E322DF"/>
    <w:rsid w:val="00E460E4"/>
    <w:rsid w:val="00E5682F"/>
    <w:rsid w:val="00E734BB"/>
    <w:rsid w:val="00E737C7"/>
    <w:rsid w:val="00E80ADE"/>
    <w:rsid w:val="00E87C4D"/>
    <w:rsid w:val="00E90EA9"/>
    <w:rsid w:val="00E971E8"/>
    <w:rsid w:val="00EB4D55"/>
    <w:rsid w:val="00EC26D7"/>
    <w:rsid w:val="00EC600A"/>
    <w:rsid w:val="00EE1D8F"/>
    <w:rsid w:val="00EF2BAB"/>
    <w:rsid w:val="00EF6091"/>
    <w:rsid w:val="00F0661B"/>
    <w:rsid w:val="00F14050"/>
    <w:rsid w:val="00F24479"/>
    <w:rsid w:val="00F26991"/>
    <w:rsid w:val="00F3578C"/>
    <w:rsid w:val="00F43D17"/>
    <w:rsid w:val="00F54F6F"/>
    <w:rsid w:val="00F7383B"/>
    <w:rsid w:val="00F74FD9"/>
    <w:rsid w:val="00F7519A"/>
    <w:rsid w:val="00F83904"/>
    <w:rsid w:val="00F8708E"/>
    <w:rsid w:val="00F95267"/>
    <w:rsid w:val="00F95B0F"/>
    <w:rsid w:val="00F975C2"/>
    <w:rsid w:val="00FA00E4"/>
    <w:rsid w:val="00FB272C"/>
    <w:rsid w:val="00FC28BC"/>
    <w:rsid w:val="00FE40BC"/>
    <w:rsid w:val="00FF5946"/>
    <w:rsid w:val="00FF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B6F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FED"/>
    <w:pPr>
      <w:ind w:left="720"/>
      <w:contextualSpacing/>
    </w:pPr>
  </w:style>
  <w:style w:type="paragraph" w:styleId="FootnoteText">
    <w:name w:val="footnote text"/>
    <w:basedOn w:val="Normal"/>
    <w:link w:val="FootnoteTextChar"/>
    <w:uiPriority w:val="99"/>
    <w:unhideWhenUsed/>
    <w:rsid w:val="00391D31"/>
    <w:rPr>
      <w:sz w:val="22"/>
    </w:rPr>
  </w:style>
  <w:style w:type="character" w:customStyle="1" w:styleId="FootnoteTextChar">
    <w:name w:val="Footnote Text Char"/>
    <w:basedOn w:val="DefaultParagraphFont"/>
    <w:link w:val="FootnoteText"/>
    <w:uiPriority w:val="99"/>
    <w:rsid w:val="00391D31"/>
    <w:rPr>
      <w:sz w:val="22"/>
    </w:rPr>
  </w:style>
  <w:style w:type="character" w:styleId="FootnoteReference">
    <w:name w:val="footnote reference"/>
    <w:basedOn w:val="DefaultParagraphFont"/>
    <w:uiPriority w:val="99"/>
    <w:unhideWhenUsed/>
    <w:rsid w:val="00B470F2"/>
    <w:rPr>
      <w:vertAlign w:val="superscript"/>
    </w:rPr>
  </w:style>
  <w:style w:type="paragraph" w:styleId="NormalWeb">
    <w:name w:val="Normal (Web)"/>
    <w:basedOn w:val="Normal"/>
    <w:uiPriority w:val="99"/>
    <w:semiHidden/>
    <w:unhideWhenUsed/>
    <w:rsid w:val="00460941"/>
    <w:rPr>
      <w:rFonts w:ascii="Times New Roman" w:hAnsi="Times New Roman" w:cs="Times New Roman"/>
    </w:rPr>
  </w:style>
  <w:style w:type="paragraph" w:styleId="BalloonText">
    <w:name w:val="Balloon Text"/>
    <w:basedOn w:val="Normal"/>
    <w:link w:val="BalloonTextChar"/>
    <w:uiPriority w:val="99"/>
    <w:semiHidden/>
    <w:unhideWhenUsed/>
    <w:rsid w:val="00C60D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0D0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0D07"/>
    <w:rPr>
      <w:sz w:val="18"/>
      <w:szCs w:val="18"/>
    </w:rPr>
  </w:style>
  <w:style w:type="paragraph" w:styleId="CommentText">
    <w:name w:val="annotation text"/>
    <w:basedOn w:val="Normal"/>
    <w:link w:val="CommentTextChar"/>
    <w:uiPriority w:val="99"/>
    <w:semiHidden/>
    <w:unhideWhenUsed/>
    <w:rsid w:val="00C60D07"/>
  </w:style>
  <w:style w:type="character" w:customStyle="1" w:styleId="CommentTextChar">
    <w:name w:val="Comment Text Char"/>
    <w:basedOn w:val="DefaultParagraphFont"/>
    <w:link w:val="CommentText"/>
    <w:uiPriority w:val="99"/>
    <w:semiHidden/>
    <w:rsid w:val="00C60D07"/>
  </w:style>
  <w:style w:type="paragraph" w:styleId="CommentSubject">
    <w:name w:val="annotation subject"/>
    <w:basedOn w:val="CommentText"/>
    <w:next w:val="CommentText"/>
    <w:link w:val="CommentSubjectChar"/>
    <w:uiPriority w:val="99"/>
    <w:semiHidden/>
    <w:unhideWhenUsed/>
    <w:rsid w:val="00C60D07"/>
    <w:rPr>
      <w:b/>
      <w:bCs/>
      <w:sz w:val="20"/>
      <w:szCs w:val="20"/>
    </w:rPr>
  </w:style>
  <w:style w:type="character" w:customStyle="1" w:styleId="CommentSubjectChar">
    <w:name w:val="Comment Subject Char"/>
    <w:basedOn w:val="CommentTextChar"/>
    <w:link w:val="CommentSubject"/>
    <w:uiPriority w:val="99"/>
    <w:semiHidden/>
    <w:rsid w:val="00C60D07"/>
    <w:rPr>
      <w:b/>
      <w:bCs/>
      <w:sz w:val="20"/>
      <w:szCs w:val="20"/>
    </w:rPr>
  </w:style>
  <w:style w:type="paragraph" w:customStyle="1" w:styleId="p1">
    <w:name w:val="p1"/>
    <w:basedOn w:val="Normal"/>
    <w:rsid w:val="008809DA"/>
    <w:pPr>
      <w:ind w:left="540" w:hanging="540"/>
    </w:pPr>
    <w:rPr>
      <w:rFonts w:ascii="Helvetica" w:hAnsi="Helvetica" w:cs="Times New Roman"/>
      <w:color w:val="000000"/>
      <w:sz w:val="18"/>
      <w:szCs w:val="18"/>
      <w:lang w:eastAsia="en-GB"/>
    </w:rPr>
  </w:style>
  <w:style w:type="character" w:styleId="Hyperlink">
    <w:name w:val="Hyperlink"/>
    <w:basedOn w:val="DefaultParagraphFont"/>
    <w:uiPriority w:val="99"/>
    <w:unhideWhenUsed/>
    <w:rsid w:val="003813AA"/>
    <w:rPr>
      <w:color w:val="0000FF"/>
      <w:u w:val="single"/>
    </w:rPr>
  </w:style>
  <w:style w:type="paragraph" w:styleId="Revision">
    <w:name w:val="Revision"/>
    <w:hidden/>
    <w:uiPriority w:val="99"/>
    <w:semiHidden/>
    <w:rsid w:val="00FB272C"/>
  </w:style>
  <w:style w:type="paragraph" w:styleId="Header">
    <w:name w:val="header"/>
    <w:basedOn w:val="Normal"/>
    <w:link w:val="HeaderChar"/>
    <w:uiPriority w:val="99"/>
    <w:unhideWhenUsed/>
    <w:rsid w:val="00BC5C3C"/>
    <w:pPr>
      <w:tabs>
        <w:tab w:val="center" w:pos="4513"/>
        <w:tab w:val="right" w:pos="9026"/>
      </w:tabs>
    </w:pPr>
  </w:style>
  <w:style w:type="character" w:customStyle="1" w:styleId="HeaderChar">
    <w:name w:val="Header Char"/>
    <w:basedOn w:val="DefaultParagraphFont"/>
    <w:link w:val="Header"/>
    <w:uiPriority w:val="99"/>
    <w:rsid w:val="00BC5C3C"/>
  </w:style>
  <w:style w:type="paragraph" w:styleId="Footer">
    <w:name w:val="footer"/>
    <w:basedOn w:val="Normal"/>
    <w:link w:val="FooterChar"/>
    <w:uiPriority w:val="99"/>
    <w:unhideWhenUsed/>
    <w:rsid w:val="00BC5C3C"/>
    <w:pPr>
      <w:tabs>
        <w:tab w:val="center" w:pos="4513"/>
        <w:tab w:val="right" w:pos="9026"/>
      </w:tabs>
    </w:pPr>
  </w:style>
  <w:style w:type="character" w:customStyle="1" w:styleId="FooterChar">
    <w:name w:val="Footer Char"/>
    <w:basedOn w:val="DefaultParagraphFont"/>
    <w:link w:val="Footer"/>
    <w:uiPriority w:val="99"/>
    <w:rsid w:val="00BC5C3C"/>
  </w:style>
  <w:style w:type="character" w:styleId="PageNumber">
    <w:name w:val="page number"/>
    <w:basedOn w:val="DefaultParagraphFont"/>
    <w:uiPriority w:val="99"/>
    <w:semiHidden/>
    <w:unhideWhenUsed/>
    <w:rsid w:val="00CD2D76"/>
  </w:style>
  <w:style w:type="table" w:styleId="TableGrid">
    <w:name w:val="Table Grid"/>
    <w:basedOn w:val="TableNormal"/>
    <w:uiPriority w:val="39"/>
    <w:rsid w:val="00CA3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7420">
      <w:bodyDiv w:val="1"/>
      <w:marLeft w:val="0"/>
      <w:marRight w:val="0"/>
      <w:marTop w:val="0"/>
      <w:marBottom w:val="0"/>
      <w:divBdr>
        <w:top w:val="none" w:sz="0" w:space="0" w:color="auto"/>
        <w:left w:val="none" w:sz="0" w:space="0" w:color="auto"/>
        <w:bottom w:val="none" w:sz="0" w:space="0" w:color="auto"/>
        <w:right w:val="none" w:sz="0" w:space="0" w:color="auto"/>
      </w:divBdr>
    </w:div>
    <w:div w:id="355934587">
      <w:bodyDiv w:val="1"/>
      <w:marLeft w:val="0"/>
      <w:marRight w:val="0"/>
      <w:marTop w:val="0"/>
      <w:marBottom w:val="0"/>
      <w:divBdr>
        <w:top w:val="none" w:sz="0" w:space="0" w:color="auto"/>
        <w:left w:val="none" w:sz="0" w:space="0" w:color="auto"/>
        <w:bottom w:val="none" w:sz="0" w:space="0" w:color="auto"/>
        <w:right w:val="none" w:sz="0" w:space="0" w:color="auto"/>
      </w:divBdr>
    </w:div>
    <w:div w:id="1241721769">
      <w:bodyDiv w:val="1"/>
      <w:marLeft w:val="0"/>
      <w:marRight w:val="0"/>
      <w:marTop w:val="0"/>
      <w:marBottom w:val="0"/>
      <w:divBdr>
        <w:top w:val="none" w:sz="0" w:space="0" w:color="auto"/>
        <w:left w:val="none" w:sz="0" w:space="0" w:color="auto"/>
        <w:bottom w:val="none" w:sz="0" w:space="0" w:color="auto"/>
        <w:right w:val="none" w:sz="0" w:space="0" w:color="auto"/>
      </w:divBdr>
      <w:divsChild>
        <w:div w:id="1850174877">
          <w:marLeft w:val="0"/>
          <w:marRight w:val="0"/>
          <w:marTop w:val="0"/>
          <w:marBottom w:val="0"/>
          <w:divBdr>
            <w:top w:val="none" w:sz="0" w:space="0" w:color="auto"/>
            <w:left w:val="none" w:sz="0" w:space="0" w:color="auto"/>
            <w:bottom w:val="none" w:sz="0" w:space="0" w:color="auto"/>
            <w:right w:val="none" w:sz="0" w:space="0" w:color="auto"/>
          </w:divBdr>
          <w:divsChild>
            <w:div w:id="1687514136">
              <w:marLeft w:val="0"/>
              <w:marRight w:val="0"/>
              <w:marTop w:val="0"/>
              <w:marBottom w:val="0"/>
              <w:divBdr>
                <w:top w:val="none" w:sz="0" w:space="0" w:color="auto"/>
                <w:left w:val="none" w:sz="0" w:space="0" w:color="auto"/>
                <w:bottom w:val="none" w:sz="0" w:space="0" w:color="auto"/>
                <w:right w:val="none" w:sz="0" w:space="0" w:color="auto"/>
              </w:divBdr>
              <w:divsChild>
                <w:div w:id="21024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7035">
      <w:bodyDiv w:val="1"/>
      <w:marLeft w:val="0"/>
      <w:marRight w:val="0"/>
      <w:marTop w:val="0"/>
      <w:marBottom w:val="0"/>
      <w:divBdr>
        <w:top w:val="none" w:sz="0" w:space="0" w:color="auto"/>
        <w:left w:val="none" w:sz="0" w:space="0" w:color="auto"/>
        <w:bottom w:val="none" w:sz="0" w:space="0" w:color="auto"/>
        <w:right w:val="none" w:sz="0" w:space="0" w:color="auto"/>
      </w:divBdr>
    </w:div>
    <w:div w:id="1784835491">
      <w:bodyDiv w:val="1"/>
      <w:marLeft w:val="0"/>
      <w:marRight w:val="0"/>
      <w:marTop w:val="0"/>
      <w:marBottom w:val="0"/>
      <w:divBdr>
        <w:top w:val="none" w:sz="0" w:space="0" w:color="auto"/>
        <w:left w:val="none" w:sz="0" w:space="0" w:color="auto"/>
        <w:bottom w:val="none" w:sz="0" w:space="0" w:color="auto"/>
        <w:right w:val="none" w:sz="0" w:space="0" w:color="auto"/>
      </w:divBdr>
      <w:divsChild>
        <w:div w:id="1137912597">
          <w:marLeft w:val="1138"/>
          <w:marRight w:val="0"/>
          <w:marTop w:val="15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DE2E628657804389AEE96A690A21C6" ma:contentTypeVersion="" ma:contentTypeDescription="Create a new document." ma:contentTypeScope="" ma:versionID="dfe0ec22c12ca25bf93470a806facc1a">
  <xsd:schema xmlns:xsd="http://www.w3.org/2001/XMLSchema" xmlns:xs="http://www.w3.org/2001/XMLSchema" xmlns:p="http://schemas.microsoft.com/office/2006/metadata/properties" xmlns:ns2="208259E5-3D1D-4D74-8D1A-4268E337395F" xmlns:ns3="176e9d42-f00c-4951-a3f2-ca011614ad33" targetNamespace="http://schemas.microsoft.com/office/2006/metadata/properties" ma:root="true" ma:fieldsID="276570e8de77cab45fbef2bebfebf22e" ns2:_="" ns3:_="">
    <xsd:import namespace="208259E5-3D1D-4D74-8D1A-4268E337395F"/>
    <xsd:import namespace="176e9d42-f00c-4951-a3f2-ca011614ad33"/>
    <xsd:element name="properties">
      <xsd:complexType>
        <xsd:sequence>
          <xsd:element name="documentManagement">
            <xsd:complexType>
              <xsd:all>
                <xsd:element ref="ns2:pc8457cba08d42be841822dbe092508a" minOccurs="0"/>
                <xsd:element ref="ns3:TaxCatchAll" minOccurs="0"/>
                <xsd:element ref="ns2:n881213a598c43e19c46d2040c5fc651" minOccurs="0"/>
                <xsd:element ref="ns2:Archive_x003f_" minOccurs="0"/>
                <xsd:element ref="ns2:Key_x0020_do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59E5-3D1D-4D74-8D1A-4268E337395F" elementFormDefault="qualified">
    <xsd:import namespace="http://schemas.microsoft.com/office/2006/documentManagement/types"/>
    <xsd:import namespace="http://schemas.microsoft.com/office/infopath/2007/PartnerControls"/>
    <xsd:element name="pc8457cba08d42be841822dbe092508a" ma:index="9" nillable="true" ma:taxonomy="true" ma:internalName="pc8457cba08d42be841822dbe092508a" ma:taxonomyFieldName="Project_x0020_doc_x0020_type" ma:displayName="Doc type - level 1" ma:indexed="true" ma:default="54;#A. Admin ＆ Planning|b1f780b9-1325-41ee-b0f8-f9c50aa7f53e" ma:fieldId="{9c8457cb-a08d-42be-8418-22dbe092508a}"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n881213a598c43e19c46d2040c5fc651" ma:index="12" nillable="true" ma:taxonomy="true" ma:internalName="n881213a598c43e19c46d2040c5fc651" ma:taxonomyFieldName="Doc_x0020_type_x0020__x002d__x0020_level_x0020_2" ma:displayName="Doc type - level 2" ma:indexed="true" ma:default="" ma:fieldId="{7881213a-598c-43e1-9c46-d2040c5fc651}"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Archive_x003f_" ma:index="13" nillable="true" ma:displayName="Archive?" ma:default="0" ma:internalName="Archive_x003f_">
      <xsd:simpleType>
        <xsd:restriction base="dms:Boolean"/>
      </xsd:simpleType>
    </xsd:element>
    <xsd:element name="Key_x0020_doc_x003f_" ma:index="14" nillable="true" ma:displayName="Key doc?" ma:default="0" ma:internalName="Key_x0020_doc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6e9d42-f00c-4951-a3f2-ca011614ad3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3B90C7E-20DD-41A8-83A5-1BCBFEEBE15B}" ma:internalName="TaxCatchAll" ma:showField="CatchAllData" ma:web="{3d751d47-437d-4c82-8360-08acfbb5c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_x003f_ xmlns="208259E5-3D1D-4D74-8D1A-4268E337395F">false</Archive_x003f_>
    <n881213a598c43e19c46d2040c5fc651 xmlns="208259E5-3D1D-4D74-8D1A-4268E337395F">
      <Terms xmlns="http://schemas.microsoft.com/office/infopath/2007/PartnerControls"/>
    </n881213a598c43e19c46d2040c5fc651>
    <Key_x0020_doc_x003f_ xmlns="208259E5-3D1D-4D74-8D1A-4268E337395F">false</Key_x0020_doc_x003f_>
    <pc8457cba08d42be841822dbe092508a xmlns="208259E5-3D1D-4D74-8D1A-4268E337395F">
      <Terms xmlns="http://schemas.microsoft.com/office/infopath/2007/PartnerControls">
        <TermInfo xmlns="http://schemas.microsoft.com/office/infopath/2007/PartnerControls">
          <TermName xmlns="http://schemas.microsoft.com/office/infopath/2007/PartnerControls">A. Admin ＆ Planning</TermName>
          <TermId xmlns="http://schemas.microsoft.com/office/infopath/2007/PartnerControls">b1f780b9-1325-41ee-b0f8-f9c50aa7f53e</TermId>
        </TermInfo>
      </Terms>
    </pc8457cba08d42be841822dbe092508a>
    <TaxCatchAll xmlns="176e9d42-f00c-4951-a3f2-ca011614ad33">
      <Value>54</Value>
    </TaxCatchAll>
  </documentManagement>
</p:properties>
</file>

<file path=customXml/itemProps1.xml><?xml version="1.0" encoding="utf-8"?>
<ds:datastoreItem xmlns:ds="http://schemas.openxmlformats.org/officeDocument/2006/customXml" ds:itemID="{01DF1BAE-EA7D-7142-B99F-E005719A81DE}">
  <ds:schemaRefs>
    <ds:schemaRef ds:uri="http://schemas.openxmlformats.org/officeDocument/2006/bibliography"/>
  </ds:schemaRefs>
</ds:datastoreItem>
</file>

<file path=customXml/itemProps2.xml><?xml version="1.0" encoding="utf-8"?>
<ds:datastoreItem xmlns:ds="http://schemas.openxmlformats.org/officeDocument/2006/customXml" ds:itemID="{0B9E09A3-A3C4-4F17-A27B-6B8AA360F2B5}"/>
</file>

<file path=customXml/itemProps3.xml><?xml version="1.0" encoding="utf-8"?>
<ds:datastoreItem xmlns:ds="http://schemas.openxmlformats.org/officeDocument/2006/customXml" ds:itemID="{B265C3BC-8F24-4022-B480-3950243F03A1}"/>
</file>

<file path=customXml/itemProps4.xml><?xml version="1.0" encoding="utf-8"?>
<ds:datastoreItem xmlns:ds="http://schemas.openxmlformats.org/officeDocument/2006/customXml" ds:itemID="{2EA9A60B-C39C-4563-B153-5540060C4F9B}"/>
</file>

<file path=docProps/app.xml><?xml version="1.0" encoding="utf-8"?>
<Properties xmlns="http://schemas.openxmlformats.org/officeDocument/2006/extended-properties" xmlns:vt="http://schemas.openxmlformats.org/officeDocument/2006/docPropsVTypes">
  <Template>Normal.dotm</Template>
  <TotalTime>7</TotalTime>
  <Pages>8</Pages>
  <Words>3712</Words>
  <Characters>21159</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Russell Ayres Consulting</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2019-10-05T22:25:00Z</cp:lastPrinted>
  <dcterms:created xsi:type="dcterms:W3CDTF">2019-10-05T23:02:00Z</dcterms:created>
  <dcterms:modified xsi:type="dcterms:W3CDTF">2019-10-05T23:08:00Z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0x01010089DE2E628657804389AEE96A690A21C6</vt:lpwstr>
  </property>
</Properties>
</file>